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color w:val="00b05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i w:val="1"/>
          <w:color w:val="00b05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color w:val="00b050"/>
        </w:rPr>
      </w:pPr>
      <w:r w:rsidDel="00000000" w:rsidR="00000000" w:rsidRPr="00000000">
        <w:rPr>
          <w:rFonts w:ascii="Times New Roman" w:cs="Times New Roman" w:eastAsia="Times New Roman" w:hAnsi="Times New Roman"/>
          <w:i w:val="1"/>
          <w:color w:val="00b050"/>
          <w:rtl w:val="0"/>
        </w:rPr>
        <w:t xml:space="preserve">Nome:</w:t>
      </w:r>
    </w:p>
    <w:p w:rsidR="00000000" w:rsidDel="00000000" w:rsidP="00000000" w:rsidRDefault="00000000" w:rsidRPr="00000000" w14:paraId="00000004">
      <w:pPr>
        <w:rPr>
          <w:rFonts w:ascii="Times New Roman" w:cs="Times New Roman" w:eastAsia="Times New Roman" w:hAnsi="Times New Roman"/>
          <w:i w:val="1"/>
          <w:color w:val="00b050"/>
        </w:rPr>
      </w:pPr>
      <w:r w:rsidDel="00000000" w:rsidR="00000000" w:rsidRPr="00000000">
        <w:rPr>
          <w:rFonts w:ascii="Times New Roman" w:cs="Times New Roman" w:eastAsia="Times New Roman" w:hAnsi="Times New Roman"/>
          <w:i w:val="1"/>
          <w:color w:val="00b050"/>
          <w:rtl w:val="0"/>
        </w:rPr>
        <w:t xml:space="preserve">Cognome:</w:t>
      </w:r>
    </w:p>
    <w:p w:rsidR="00000000" w:rsidDel="00000000" w:rsidP="00000000" w:rsidRDefault="00000000" w:rsidRPr="00000000" w14:paraId="00000005">
      <w:pPr>
        <w:rPr>
          <w:rFonts w:ascii="Times New Roman" w:cs="Times New Roman" w:eastAsia="Times New Roman" w:hAnsi="Times New Roman"/>
          <w:i w:val="1"/>
          <w:color w:val="00b050"/>
        </w:rPr>
      </w:pPr>
      <w:r w:rsidDel="00000000" w:rsidR="00000000" w:rsidRPr="00000000">
        <w:rPr>
          <w:rFonts w:ascii="Times New Roman" w:cs="Times New Roman" w:eastAsia="Times New Roman" w:hAnsi="Times New Roman"/>
          <w:i w:val="1"/>
          <w:color w:val="00b050"/>
          <w:rtl w:val="0"/>
        </w:rPr>
        <w:t xml:space="preserve">Matricola:</w:t>
      </w:r>
    </w:p>
    <w:p w:rsidR="00000000" w:rsidDel="00000000" w:rsidP="00000000" w:rsidRDefault="00000000" w:rsidRPr="00000000" w14:paraId="00000006">
      <w:pPr>
        <w:rPr>
          <w:rFonts w:ascii="Times New Roman" w:cs="Times New Roman" w:eastAsia="Times New Roman" w:hAnsi="Times New Roman"/>
          <w:i w:val="1"/>
          <w:color w:val="00b050"/>
        </w:rPr>
      </w:pPr>
      <w:r w:rsidDel="00000000" w:rsidR="00000000" w:rsidRPr="00000000">
        <w:rPr>
          <w:rFonts w:ascii="Times New Roman" w:cs="Times New Roman" w:eastAsia="Times New Roman" w:hAnsi="Times New Roman"/>
          <w:i w:val="1"/>
          <w:color w:val="00b050"/>
          <w:rtl w:val="0"/>
        </w:rPr>
        <w:t xml:space="preserve">Data: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Q1: Dopo aver chiarito quali sono le competenze della Banca centrale europea, evidenzia come la Corte di giustizia giustifica le operazioni monetarie non convenzionali effettuate dall’istituzione monetaria europea.</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Q2: Quali sono le basi giuridiche e i principi cardini della politica ambientale europea?</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jc w:val="both"/>
        <w:rPr>
          <w:rFonts w:ascii="AppleSystemUIFont" w:cs="AppleSystemUIFont" w:eastAsia="AppleSystemUIFont" w:hAnsi="AppleSystemUIFont"/>
          <w:sz w:val="26"/>
          <w:szCs w:val="26"/>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1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Q3: Caso Pratico</w:t>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centro della vicenda si trova la società a responsabilità limitata Racing con sede in Spagna, la quale detiene delle partecipazioni (per un valore inferiore al 10 per cento) in una società non residente. Infatti, tale partecipazione è detenuta dall’azienda spagnola Racing s.r.l. nell’azienda Motta s.r.l. con sede in Italia. </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Racing s.r.l. riporta nel bilancio relativo all’esercizio concluso il 31 dicembre 2021 una svalutazione di detta partecipazione iscrivendola, quindi, ad un valore inferiore rispetto al valore contabile precedente. Ne derivava un minor utile di esercizio sul quale calcolare l’imposta sulle società.</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L’imposta spagnola sulle società permette, in via transitoria, la deduzione del deprezzamento di partecipazioni in altre società con riferimento a partecipazioni in società residenti sul territorio spagnolo. Tuttavia, l’imposta non consente di detrarre il deprezzamento di partecipazioni per le società stabilite in altri Stati membri.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conseguenza, la società spagnola Racing s.r.l. non poteva dedurre il deprezzamento conseguente alla sua partecipazione nella società Motta s.r.l. residente in Italia.</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Racing s.r.l. ritiene ingiusta tale disposizione e ricorre davanti ad un giudice spagnolo. Il giudice spagnolo rinvia a sua volta alla Corte di giustizia e pone le seguenti domande: Le partecipazioni in altre società rientrano nella nozione di capitale ai fini del diritto UE? L’imposta spagnola configura una disparità di trattamento fondata sul luogo di investimento dei capitali? L’imposta è idonea a realizzare un effetto restrittivo nei confronti delle società stabilite in altri Stati membri?</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2">
      <w:pPr>
        <w:jc w:val="both"/>
        <w:rPr>
          <w:rFonts w:ascii="AppleSystemUIFont" w:cs="AppleSystemUIFont" w:eastAsia="AppleSystemUIFont" w:hAnsi="AppleSystemUIFont"/>
          <w:sz w:val="26"/>
          <w:szCs w:val="26"/>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ppleSystemUI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Corso di diritto del mercato unico europeo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Prof. Alessandro Nato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Dipartimento di Giurisprudenza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Università degli studi di Teramo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 2022/2023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FE3B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FE3B9C"/>
    <w:pPr>
      <w:tabs>
        <w:tab w:val="center" w:pos="4819"/>
        <w:tab w:val="right" w:pos="9638"/>
      </w:tabs>
    </w:pPr>
  </w:style>
  <w:style w:type="character" w:styleId="IntestazioneCarattere" w:customStyle="1">
    <w:name w:val="Intestazione Carattere"/>
    <w:basedOn w:val="Carpredefinitoparagrafo"/>
    <w:link w:val="Intestazione"/>
    <w:uiPriority w:val="99"/>
    <w:rsid w:val="00FE3B9C"/>
  </w:style>
  <w:style w:type="paragraph" w:styleId="Pidipagina">
    <w:name w:val="footer"/>
    <w:basedOn w:val="Normale"/>
    <w:link w:val="PidipaginaCarattere"/>
    <w:uiPriority w:val="99"/>
    <w:unhideWhenUsed w:val="1"/>
    <w:rsid w:val="00FE3B9C"/>
    <w:pPr>
      <w:tabs>
        <w:tab w:val="center" w:pos="4819"/>
        <w:tab w:val="right" w:pos="9638"/>
      </w:tabs>
    </w:pPr>
  </w:style>
  <w:style w:type="character" w:styleId="PidipaginaCarattere" w:customStyle="1">
    <w:name w:val="Piè di pagina Carattere"/>
    <w:basedOn w:val="Carpredefinitoparagrafo"/>
    <w:link w:val="Pidipagina"/>
    <w:uiPriority w:val="99"/>
    <w:rsid w:val="00FE3B9C"/>
  </w:style>
  <w:style w:type="character" w:styleId="Enfasigrassetto">
    <w:name w:val="Strong"/>
    <w:basedOn w:val="Carpredefinitoparagrafo"/>
    <w:uiPriority w:val="22"/>
    <w:qFormat w:val="1"/>
    <w:rsid w:val="005F6AB0"/>
    <w:rPr>
      <w:b w:val="1"/>
      <w:bCs w:val="1"/>
    </w:rPr>
  </w:style>
  <w:style w:type="character" w:styleId="apple-converted-space" w:customStyle="1">
    <w:name w:val="apple-converted-space"/>
    <w:basedOn w:val="Carpredefinitoparagrafo"/>
    <w:rsid w:val="005F6AB0"/>
  </w:style>
  <w:style w:type="character" w:styleId="Enfasicorsivo">
    <w:name w:val="Emphasis"/>
    <w:basedOn w:val="Carpredefinitoparagrafo"/>
    <w:uiPriority w:val="20"/>
    <w:qFormat w:val="1"/>
    <w:rsid w:val="005F6AB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K97VRpbqSVFvo+0eMxjE4r83A==">CgMxLjA4AHIhMUU5WTZ3bHBINXVMYmlHR0FpTjVqbWtzamhsRV9DQ2Jo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2023-04-11T10:06:00Z</dcterms:created>
  <dc:creator>Alessandro Nato</dc:creator>
</cp:coreProperties>
</file>