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i w:val="1"/>
          <w:color w:val="00b050"/>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i w:val="1"/>
          <w:color w:val="00b05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color w:val="00b050"/>
        </w:rPr>
      </w:pPr>
      <w:r w:rsidDel="00000000" w:rsidR="00000000" w:rsidRPr="00000000">
        <w:rPr>
          <w:rFonts w:ascii="Times New Roman" w:cs="Times New Roman" w:eastAsia="Times New Roman" w:hAnsi="Times New Roman"/>
          <w:i w:val="1"/>
          <w:color w:val="00b050"/>
          <w:rtl w:val="0"/>
        </w:rPr>
        <w:t xml:space="preserve">Nome:</w:t>
      </w:r>
    </w:p>
    <w:p w:rsidR="00000000" w:rsidDel="00000000" w:rsidP="00000000" w:rsidRDefault="00000000" w:rsidRPr="00000000" w14:paraId="00000004">
      <w:pPr>
        <w:rPr>
          <w:rFonts w:ascii="Times New Roman" w:cs="Times New Roman" w:eastAsia="Times New Roman" w:hAnsi="Times New Roman"/>
          <w:i w:val="1"/>
          <w:color w:val="00b050"/>
        </w:rPr>
      </w:pPr>
      <w:r w:rsidDel="00000000" w:rsidR="00000000" w:rsidRPr="00000000">
        <w:rPr>
          <w:rFonts w:ascii="Times New Roman" w:cs="Times New Roman" w:eastAsia="Times New Roman" w:hAnsi="Times New Roman"/>
          <w:i w:val="1"/>
          <w:color w:val="00b050"/>
          <w:rtl w:val="0"/>
        </w:rPr>
        <w:t xml:space="preserve">Cognome:</w:t>
      </w:r>
    </w:p>
    <w:p w:rsidR="00000000" w:rsidDel="00000000" w:rsidP="00000000" w:rsidRDefault="00000000" w:rsidRPr="00000000" w14:paraId="00000005">
      <w:pPr>
        <w:rPr>
          <w:rFonts w:ascii="Times New Roman" w:cs="Times New Roman" w:eastAsia="Times New Roman" w:hAnsi="Times New Roman"/>
          <w:i w:val="1"/>
          <w:color w:val="00b050"/>
        </w:rPr>
      </w:pPr>
      <w:r w:rsidDel="00000000" w:rsidR="00000000" w:rsidRPr="00000000">
        <w:rPr>
          <w:rFonts w:ascii="Times New Roman" w:cs="Times New Roman" w:eastAsia="Times New Roman" w:hAnsi="Times New Roman"/>
          <w:i w:val="1"/>
          <w:color w:val="00b050"/>
          <w:rtl w:val="0"/>
        </w:rPr>
        <w:t xml:space="preserve">Matricola:</w:t>
      </w:r>
    </w:p>
    <w:p w:rsidR="00000000" w:rsidDel="00000000" w:rsidP="00000000" w:rsidRDefault="00000000" w:rsidRPr="00000000" w14:paraId="00000006">
      <w:pPr>
        <w:rPr>
          <w:rFonts w:ascii="Times New Roman" w:cs="Times New Roman" w:eastAsia="Times New Roman" w:hAnsi="Times New Roman"/>
          <w:i w:val="1"/>
          <w:color w:val="00b050"/>
        </w:rPr>
      </w:pPr>
      <w:r w:rsidDel="00000000" w:rsidR="00000000" w:rsidRPr="00000000">
        <w:rPr>
          <w:rFonts w:ascii="Times New Roman" w:cs="Times New Roman" w:eastAsia="Times New Roman" w:hAnsi="Times New Roman"/>
          <w:i w:val="1"/>
          <w:color w:val="00b050"/>
          <w:rtl w:val="0"/>
        </w:rPr>
        <w:t xml:space="preserve">Data: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Q1: Dopo aver chiarito quali sono le competenze della Banca centrale europea, evidenzia come la Corte di giustizia giustifica le operazioni monetarie non convenzionali effettuate dall’istituzione monetaria europea.</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Q2: Quali sono le basi giuridiche e i principi cardini della politica ambientale europea?</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rFonts w:ascii="AppleSystemUIFont" w:cs="AppleSystemUIFont" w:eastAsia="AppleSystemUIFont" w:hAnsi="AppleSystemUIFont"/>
          <w:sz w:val="26"/>
          <w:szCs w:val="26"/>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Q3: Caso Pratico</w:t>
            </w:r>
          </w:p>
          <w:p w:rsidR="00000000" w:rsidDel="00000000" w:rsidP="00000000" w:rsidRDefault="00000000" w:rsidRPr="00000000" w14:paraId="0000001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centro della vicenda si trova la società a responsabilità limitata Racing con sede in Spagna, la quale detiene delle partecipazioni (per un valore inferiore al 10 per cento) in una società non residente. Infatti, tale partecipazione è detenuta dall’azienda spagnola Racing s.r.l. nell’azienda Motta s.r.l. con sede in Italia.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Racing s.r.l. riporta nel bilancio relativo all’esercizio concluso il 31 dicembre 2021 una svalutazione di detta partecipazione iscrivendola, quindi, ad un valore inferiore rispetto al valore contabile precedente. Ne derivava un minor utile di esercizio sul quale calcolare l’imposta sulle società.</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L’imposta spagnola sulle società permette, in via transitoria, la deduzione del deprezzamento di partecipazioni in altre società con riferimento a partecipazioni in società residenti sul territorio spagnolo. Tuttavia, l’imposta non consente di detrarre il deprezzamento di partecipazioni per le società stabilite in altri Stati membri.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conseguenza, la società spagnola Racing s.r.l. non poteva dedurre il deprezzamento conseguente alla sua partecipazione nella società Motta s.r.l. residente in Italia.</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Racing s.r.l. ritiene ingiusta tale disposizione e ricorre davanti ad un giudice spagnolo. Il giudice spagnolo rinvia a sua volta alla Corte di giustizia e pone le seguenti domande: Le partecipazioni in altre società rientrano nella nozione di capitale ai fini del diritto UE? L’imposta spagnola configura una disparità di trattamento fondata sul luogo di investimento dei capitali? L’imposta è idonea a realizzare un effetto restrittivo nei confronti delle società stabilite in altri Stati membri?</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2">
      <w:pPr>
        <w:jc w:val="both"/>
        <w:rPr>
          <w:rFonts w:ascii="AppleSystemUIFont" w:cs="AppleSystemUIFont" w:eastAsia="AppleSystemUIFont" w:hAnsi="AppleSystemUIFont"/>
          <w:sz w:val="26"/>
          <w:szCs w:val="26"/>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Corso di diritto del mercato unico europeo</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Prof. Alessandro Nato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Dipartimento di Giurisprudenza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Università degli studi di Teramo</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A.A. 2022/2023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FE3B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basedOn w:val="Normale"/>
    <w:link w:val="IntestazioneCarattere"/>
    <w:uiPriority w:val="99"/>
    <w:unhideWhenUsed w:val="1"/>
    <w:rsid w:val="00FE3B9C"/>
    <w:pPr>
      <w:tabs>
        <w:tab w:val="center" w:pos="4819"/>
        <w:tab w:val="right" w:pos="9638"/>
      </w:tabs>
    </w:pPr>
  </w:style>
  <w:style w:type="character" w:styleId="IntestazioneCarattere" w:customStyle="1">
    <w:name w:val="Intestazione Carattere"/>
    <w:basedOn w:val="Carpredefinitoparagrafo"/>
    <w:link w:val="Intestazione"/>
    <w:uiPriority w:val="99"/>
    <w:rsid w:val="00FE3B9C"/>
  </w:style>
  <w:style w:type="paragraph" w:styleId="Pidipagina">
    <w:name w:val="footer"/>
    <w:basedOn w:val="Normale"/>
    <w:link w:val="PidipaginaCarattere"/>
    <w:uiPriority w:val="99"/>
    <w:unhideWhenUsed w:val="1"/>
    <w:rsid w:val="00FE3B9C"/>
    <w:pPr>
      <w:tabs>
        <w:tab w:val="center" w:pos="4819"/>
        <w:tab w:val="right" w:pos="9638"/>
      </w:tabs>
    </w:pPr>
  </w:style>
  <w:style w:type="character" w:styleId="PidipaginaCarattere" w:customStyle="1">
    <w:name w:val="Piè di pagina Carattere"/>
    <w:basedOn w:val="Carpredefinitoparagrafo"/>
    <w:link w:val="Pidipagina"/>
    <w:uiPriority w:val="99"/>
    <w:rsid w:val="00FE3B9C"/>
  </w:style>
  <w:style w:type="character" w:styleId="Enfasigrassetto">
    <w:name w:val="Strong"/>
    <w:basedOn w:val="Carpredefinitoparagrafo"/>
    <w:uiPriority w:val="22"/>
    <w:qFormat w:val="1"/>
    <w:rsid w:val="005F6AB0"/>
    <w:rPr>
      <w:b w:val="1"/>
      <w:bCs w:val="1"/>
    </w:rPr>
  </w:style>
  <w:style w:type="character" w:styleId="apple-converted-space" w:customStyle="1">
    <w:name w:val="apple-converted-space"/>
    <w:basedOn w:val="Carpredefinitoparagrafo"/>
    <w:rsid w:val="005F6AB0"/>
  </w:style>
  <w:style w:type="character" w:styleId="Enfasicorsivo">
    <w:name w:val="Emphasis"/>
    <w:basedOn w:val="Carpredefinitoparagrafo"/>
    <w:uiPriority w:val="20"/>
    <w:qFormat w:val="1"/>
    <w:rsid w:val="005F6AB0"/>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K97VRpbqSVFvo+0eMxjE4r83A==">CgMxLjA4AHIhMUU5WTZ3bHBINXVMYmlHR0FpTjVqbWtzamhsRV9DQ2Jo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2023-04-11T10:06:00Z</dcterms:created>
  <dc:creator>Alessandro Nato</dc:creator>
</cp:coreProperties>
</file>