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b/>
          <w:bCs/>
          <w:color w:val="000000"/>
          <w:sz w:val="24"/>
          <w:szCs w:val="24"/>
          <w:lang w:eastAsia="it-IT"/>
        </w:rPr>
        <w:t>La democrazia nella Grecia antica</w:t>
      </w:r>
    </w:p>
    <w:p w:rsidR="00EA091A" w:rsidRDefault="00EA091A" w:rsidP="00EA091A">
      <w:pPr>
        <w:spacing w:line="240" w:lineRule="atLeast"/>
        <w:rPr>
          <w:rFonts w:ascii="Arial" w:eastAsia="Times New Roman" w:hAnsi="Arial" w:cs="Arial"/>
          <w:color w:val="000000"/>
          <w:lang w:eastAsia="it-IT"/>
        </w:rPr>
      </w:pPr>
    </w:p>
    <w:p w:rsidR="00EA091A" w:rsidRPr="00EA091A" w:rsidRDefault="00EA091A" w:rsidP="00EA091A">
      <w:pPr>
        <w:spacing w:line="240" w:lineRule="atLeast"/>
        <w:rPr>
          <w:rFonts w:ascii="Arial" w:eastAsia="Times New Roman" w:hAnsi="Arial" w:cs="Arial"/>
          <w:color w:val="000000"/>
          <w:lang w:eastAsia="it-IT"/>
        </w:rPr>
      </w:pPr>
      <w:r w:rsidRPr="00EA091A">
        <w:rPr>
          <w:rFonts w:ascii="Arial" w:eastAsia="Times New Roman" w:hAnsi="Arial" w:cs="Arial"/>
          <w:color w:val="000000"/>
          <w:lang w:eastAsia="it-IT"/>
        </w:rPr>
        <w:t>di </w:t>
      </w:r>
      <w:r w:rsidRPr="00EA091A">
        <w:rPr>
          <w:rFonts w:ascii="Arial" w:eastAsia="Times New Roman" w:hAnsi="Arial" w:cs="Arial"/>
          <w:b/>
          <w:bCs/>
          <w:color w:val="000000"/>
          <w:lang w:eastAsia="it-IT"/>
        </w:rPr>
        <w:t>Luciano Canfora</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La democrazia nella Grecia antica, a giudicare dalle fonti di cui disponiamo, fu un fenomeno dai contorni no</w:t>
      </w:r>
      <w:bookmarkStart w:id="0" w:name="_GoBack"/>
      <w:bookmarkEnd w:id="0"/>
      <w:r w:rsidRPr="00EA091A">
        <w:rPr>
          <w:rFonts w:ascii="Arial" w:eastAsia="Times New Roman" w:hAnsi="Arial" w:cs="Arial"/>
          <w:color w:val="000000"/>
          <w:sz w:val="24"/>
          <w:szCs w:val="24"/>
          <w:lang w:eastAsia="it-IT"/>
        </w:rPr>
        <w:t>n molto definiti e, inoltre, oggetto sin dal principio di contrastanti valutazioni e interpretazioni.</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Consistendo, in sostanza, nell’attribuzione, a una assemblea deliberante composta di «cittadini» di pieno diritto, del potere deliberativo, la democrazia fu, di necessità, nel mondo greco, nozione troppo generica per essere racchiusa in una rigorosa definizione. Non è del tutto arbitrario, per es., il giudizio di un pensatore politico che esercitò molta influenza nel 4° sec. a.C., l’ateniese Isocrate, secondo cui sarebbe stata Sparta la «democrazia perfetta» (</w:t>
      </w:r>
      <w:r w:rsidRPr="00EA091A">
        <w:rPr>
          <w:rFonts w:ascii="Arial" w:eastAsia="Times New Roman" w:hAnsi="Arial" w:cs="Arial"/>
          <w:i/>
          <w:iCs/>
          <w:color w:val="000000"/>
          <w:sz w:val="24"/>
          <w:szCs w:val="24"/>
          <w:lang w:eastAsia="it-IT"/>
        </w:rPr>
        <w:t>Areopagitico</w:t>
      </w:r>
      <w:r w:rsidRPr="00EA091A">
        <w:rPr>
          <w:rFonts w:ascii="Arial" w:eastAsia="Times New Roman" w:hAnsi="Arial" w:cs="Arial"/>
          <w:color w:val="000000"/>
          <w:sz w:val="24"/>
          <w:szCs w:val="24"/>
          <w:lang w:eastAsia="it-IT"/>
        </w:rPr>
        <w:t>, 61): a Sparta sono cittadini </w:t>
      </w:r>
      <w:proofErr w:type="spellStart"/>
      <w:r w:rsidRPr="00EA091A">
        <w:rPr>
          <w:rFonts w:ascii="Arial" w:eastAsia="Times New Roman" w:hAnsi="Arial" w:cs="Arial"/>
          <w:i/>
          <w:iCs/>
          <w:color w:val="000000"/>
          <w:sz w:val="24"/>
          <w:szCs w:val="24"/>
          <w:lang w:eastAsia="it-IT"/>
        </w:rPr>
        <w:t>pleno</w:t>
      </w:r>
      <w:proofErr w:type="spellEnd"/>
      <w:r w:rsidRPr="00EA091A">
        <w:rPr>
          <w:rFonts w:ascii="Arial" w:eastAsia="Times New Roman" w:hAnsi="Arial" w:cs="Arial"/>
          <w:i/>
          <w:iCs/>
          <w:color w:val="000000"/>
          <w:sz w:val="24"/>
          <w:szCs w:val="24"/>
          <w:lang w:eastAsia="it-IT"/>
        </w:rPr>
        <w:t xml:space="preserve"> iure</w:t>
      </w:r>
      <w:r w:rsidRPr="00EA091A">
        <w:rPr>
          <w:rFonts w:ascii="Arial" w:eastAsia="Times New Roman" w:hAnsi="Arial" w:cs="Arial"/>
          <w:color w:val="000000"/>
          <w:sz w:val="24"/>
          <w:szCs w:val="24"/>
          <w:lang w:eastAsia="it-IT"/>
        </w:rPr>
        <w:t> solo gli spartiati, e sono tutti «uguali» e tutti ugualmente partecipi dell’assemblea decisionale (</w:t>
      </w:r>
      <w:proofErr w:type="spellStart"/>
      <w:r w:rsidRPr="00EA091A">
        <w:rPr>
          <w:rFonts w:ascii="Arial" w:eastAsia="Times New Roman" w:hAnsi="Arial" w:cs="Arial"/>
          <w:i/>
          <w:iCs/>
          <w:color w:val="000000"/>
          <w:sz w:val="24"/>
          <w:szCs w:val="24"/>
          <w:lang w:eastAsia="it-IT"/>
        </w:rPr>
        <w:t>apella</w:t>
      </w:r>
      <w:proofErr w:type="spellEnd"/>
      <w:r w:rsidRPr="00EA091A">
        <w:rPr>
          <w:rFonts w:ascii="Arial" w:eastAsia="Times New Roman" w:hAnsi="Arial" w:cs="Arial"/>
          <w:color w:val="000000"/>
          <w:sz w:val="24"/>
          <w:szCs w:val="24"/>
          <w:lang w:eastAsia="it-IT"/>
        </w:rPr>
        <w:t xml:space="preserve">), mentre tutti gli altri (perieci e iloti) sono considerati estranei alla comunità degli «uguali», non solo perché sottomessi con la forza, ma perché considerati appartenenti a un’altra «razza» rispetto alla «purezza» degli spartiati. Entro questi limiti Sparta è addirittura il «regno dell’uguaglianza», stabilita in epoca remotissima dal </w:t>
      </w:r>
      <w:proofErr w:type="spellStart"/>
      <w:r w:rsidRPr="00EA091A">
        <w:rPr>
          <w:rFonts w:ascii="Arial" w:eastAsia="Times New Roman" w:hAnsi="Arial" w:cs="Arial"/>
          <w:color w:val="000000"/>
          <w:sz w:val="24"/>
          <w:szCs w:val="24"/>
          <w:lang w:eastAsia="it-IT"/>
        </w:rPr>
        <w:t>semimitico</w:t>
      </w:r>
      <w:proofErr w:type="spellEnd"/>
      <w:r w:rsidRPr="00EA091A">
        <w:rPr>
          <w:rFonts w:ascii="Arial" w:eastAsia="Times New Roman" w:hAnsi="Arial" w:cs="Arial"/>
          <w:color w:val="000000"/>
          <w:sz w:val="24"/>
          <w:szCs w:val="24"/>
          <w:lang w:eastAsia="it-IT"/>
        </w:rPr>
        <w:t xml:space="preserve"> legislatore </w:t>
      </w:r>
      <w:proofErr w:type="spellStart"/>
      <w:r w:rsidRPr="00EA091A">
        <w:rPr>
          <w:rFonts w:ascii="Arial" w:eastAsia="Times New Roman" w:hAnsi="Arial" w:cs="Arial"/>
          <w:color w:val="000000"/>
          <w:sz w:val="24"/>
          <w:szCs w:val="24"/>
          <w:lang w:eastAsia="it-IT"/>
        </w:rPr>
        <w:t>Licurgo</w:t>
      </w:r>
      <w:proofErr w:type="spellEnd"/>
      <w:r w:rsidRPr="00EA091A">
        <w:rPr>
          <w:rFonts w:ascii="Arial" w:eastAsia="Times New Roman" w:hAnsi="Arial" w:cs="Arial"/>
          <w:color w:val="000000"/>
          <w:sz w:val="24"/>
          <w:szCs w:val="24"/>
          <w:lang w:eastAsia="it-IT"/>
        </w:rPr>
        <w:t>. Sotto questo rispetto Atene è assai meno lineare. Certo il numero dei cittadini </w:t>
      </w:r>
      <w:proofErr w:type="spellStart"/>
      <w:r w:rsidRPr="00EA091A">
        <w:rPr>
          <w:rFonts w:ascii="Arial" w:eastAsia="Times New Roman" w:hAnsi="Arial" w:cs="Arial"/>
          <w:i/>
          <w:iCs/>
          <w:color w:val="000000"/>
          <w:sz w:val="24"/>
          <w:szCs w:val="24"/>
          <w:lang w:eastAsia="it-IT"/>
        </w:rPr>
        <w:t>pleno</w:t>
      </w:r>
      <w:proofErr w:type="spellEnd"/>
      <w:r w:rsidRPr="00EA091A">
        <w:rPr>
          <w:rFonts w:ascii="Arial" w:eastAsia="Times New Roman" w:hAnsi="Arial" w:cs="Arial"/>
          <w:i/>
          <w:iCs/>
          <w:color w:val="000000"/>
          <w:sz w:val="24"/>
          <w:szCs w:val="24"/>
          <w:lang w:eastAsia="it-IT"/>
        </w:rPr>
        <w:t xml:space="preserve"> iure</w:t>
      </w:r>
      <w:r w:rsidRPr="00EA091A">
        <w:rPr>
          <w:rFonts w:ascii="Arial" w:eastAsia="Times New Roman" w:hAnsi="Arial" w:cs="Arial"/>
          <w:color w:val="000000"/>
          <w:sz w:val="24"/>
          <w:szCs w:val="24"/>
          <w:lang w:eastAsia="it-IT"/>
        </w:rPr>
        <w:t xml:space="preserve"> è molto più alto che a Sparta, ma anche ad Atene c’è un grandissimo numero di non-cittadini: masse di schiavi; e c’è anche un numero rilevante di stranieri, anche benestanti, pur sempre non-cittadini. E, comunque, ad Atene ceto politico dominante sono i ricchi che «accettano» la «democrazia», che accettano cioè di misurarsi con l’assemblea e di subire il potere dei tribunali popolari. La differenza non sta dunque solo nel numero. Ma a questo punto sarà già divenuto chiaro perché è Sparta, ben più che Atene, il modello idoleggiato per es. da un pensatore radicale quale l’abate </w:t>
      </w:r>
      <w:proofErr w:type="spellStart"/>
      <w:r w:rsidRPr="00EA091A">
        <w:rPr>
          <w:rFonts w:ascii="Arial" w:eastAsia="Times New Roman" w:hAnsi="Arial" w:cs="Arial"/>
          <w:color w:val="000000"/>
          <w:sz w:val="24"/>
          <w:szCs w:val="24"/>
          <w:lang w:eastAsia="it-IT"/>
        </w:rPr>
        <w:t>Mably</w:t>
      </w:r>
      <w:proofErr w:type="spellEnd"/>
      <w:r w:rsidRPr="00EA091A">
        <w:rPr>
          <w:rFonts w:ascii="Arial" w:eastAsia="Times New Roman" w:hAnsi="Arial" w:cs="Arial"/>
          <w:color w:val="000000"/>
          <w:sz w:val="24"/>
          <w:szCs w:val="24"/>
          <w:lang w:eastAsia="it-IT"/>
        </w:rPr>
        <w:t xml:space="preserve"> (1709-1785), ispiratore della democrazia giacobina, e perché Sparta ben più che Atene sia stata il bersaglio polemico di un decisivo pensatore antigiacobino come B. </w:t>
      </w:r>
      <w:proofErr w:type="spellStart"/>
      <w:r w:rsidRPr="00EA091A">
        <w:rPr>
          <w:rFonts w:ascii="Arial" w:eastAsia="Times New Roman" w:hAnsi="Arial" w:cs="Arial"/>
          <w:color w:val="000000"/>
          <w:sz w:val="24"/>
          <w:szCs w:val="24"/>
          <w:lang w:eastAsia="it-IT"/>
        </w:rPr>
        <w:t>Constant</w:t>
      </w:r>
      <w:proofErr w:type="spellEnd"/>
      <w:r w:rsidRPr="00EA091A">
        <w:rPr>
          <w:rFonts w:ascii="Arial" w:eastAsia="Times New Roman" w:hAnsi="Arial" w:cs="Arial"/>
          <w:color w:val="000000"/>
          <w:sz w:val="24"/>
          <w:szCs w:val="24"/>
          <w:lang w:eastAsia="it-IT"/>
        </w:rPr>
        <w:t>.</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 xml:space="preserve">Il paradosso è che invece nel 4° e 5° sec. a.C., sul piano dei rapporti politici tra stati, Sparta veniva percepita come il punto di riferimento delle oligarchie, mentre Atene, una volta creato l’impero (478 a.C.), ha «esportato», con il peso della sua forza militare, il suo modello di democrazia (estensione della piena cittadinanza ai non possidenti) in tutte le città «alleate» (ben presto «suddite»). Ulteriore paradosso: è Sparta che, nel 6° sec. a.C., </w:t>
      </w:r>
      <w:r w:rsidRPr="00EA091A">
        <w:rPr>
          <w:rFonts w:ascii="Arial" w:eastAsia="Times New Roman" w:hAnsi="Arial" w:cs="Arial"/>
          <w:color w:val="000000"/>
          <w:sz w:val="24"/>
          <w:szCs w:val="24"/>
          <w:lang w:eastAsia="it-IT"/>
        </w:rPr>
        <w:lastRenderedPageBreak/>
        <w:t>combatte i «tiranni» nella Grecia peninsulare, e i «tiranni» però sono, per un verso, i </w:t>
      </w:r>
      <w:r w:rsidRPr="00EA091A">
        <w:rPr>
          <w:rFonts w:ascii="Arial" w:eastAsia="Times New Roman" w:hAnsi="Arial" w:cs="Arial"/>
          <w:i/>
          <w:iCs/>
          <w:color w:val="000000"/>
          <w:sz w:val="24"/>
          <w:szCs w:val="24"/>
          <w:lang w:eastAsia="it-IT"/>
        </w:rPr>
        <w:t>leader </w:t>
      </w:r>
      <w:r w:rsidRPr="00EA091A">
        <w:rPr>
          <w:rFonts w:ascii="Arial" w:eastAsia="Times New Roman" w:hAnsi="Arial" w:cs="Arial"/>
          <w:color w:val="000000"/>
          <w:sz w:val="24"/>
          <w:szCs w:val="24"/>
          <w:lang w:eastAsia="it-IT"/>
        </w:rPr>
        <w:t xml:space="preserve">di una massa popolare invisa alle grandi famiglie possidenti, e per l’altro – una volta abbattuti – diventano nella retorica democratica l’antitesi, l’opposto diametrale, della «democrazia». E la «democrazia», per es. in Atene, è ristabilita a opera soprattutto di una famiglia, quella di </w:t>
      </w:r>
      <w:proofErr w:type="spellStart"/>
      <w:r w:rsidRPr="00EA091A">
        <w:rPr>
          <w:rFonts w:ascii="Arial" w:eastAsia="Times New Roman" w:hAnsi="Arial" w:cs="Arial"/>
          <w:color w:val="000000"/>
          <w:sz w:val="24"/>
          <w:szCs w:val="24"/>
          <w:lang w:eastAsia="it-IT"/>
        </w:rPr>
        <w:t>Clistene</w:t>
      </w:r>
      <w:proofErr w:type="spellEnd"/>
      <w:r w:rsidRPr="00EA091A">
        <w:rPr>
          <w:rFonts w:ascii="Arial" w:eastAsia="Times New Roman" w:hAnsi="Arial" w:cs="Arial"/>
          <w:color w:val="000000"/>
          <w:sz w:val="24"/>
          <w:szCs w:val="24"/>
          <w:lang w:eastAsia="it-IT"/>
        </w:rPr>
        <w:t xml:space="preserve"> (gli </w:t>
      </w:r>
      <w:proofErr w:type="spellStart"/>
      <w:r w:rsidRPr="00EA091A">
        <w:rPr>
          <w:rFonts w:ascii="Arial" w:eastAsia="Times New Roman" w:hAnsi="Arial" w:cs="Arial"/>
          <w:color w:val="000000"/>
          <w:sz w:val="24"/>
          <w:szCs w:val="24"/>
          <w:lang w:eastAsia="it-IT"/>
        </w:rPr>
        <w:t>Alcmeonidi</w:t>
      </w:r>
      <w:proofErr w:type="spellEnd"/>
      <w:r w:rsidRPr="00EA091A">
        <w:rPr>
          <w:rFonts w:ascii="Arial" w:eastAsia="Times New Roman" w:hAnsi="Arial" w:cs="Arial"/>
          <w:color w:val="000000"/>
          <w:sz w:val="24"/>
          <w:szCs w:val="24"/>
          <w:lang w:eastAsia="it-IT"/>
        </w:rPr>
        <w:t>), che aveva prima collaborato coi tiranni (</w:t>
      </w:r>
      <w:proofErr w:type="spellStart"/>
      <w:r w:rsidRPr="00EA091A">
        <w:rPr>
          <w:rFonts w:ascii="Arial" w:eastAsia="Times New Roman" w:hAnsi="Arial" w:cs="Arial"/>
          <w:color w:val="000000"/>
          <w:sz w:val="24"/>
          <w:szCs w:val="24"/>
          <w:lang w:eastAsia="it-IT"/>
        </w:rPr>
        <w:t>Pisistrato</w:t>
      </w:r>
      <w:proofErr w:type="spellEnd"/>
      <w:r w:rsidRPr="00EA091A">
        <w:rPr>
          <w:rFonts w:ascii="Arial" w:eastAsia="Times New Roman" w:hAnsi="Arial" w:cs="Arial"/>
          <w:color w:val="000000"/>
          <w:sz w:val="24"/>
          <w:szCs w:val="24"/>
          <w:lang w:eastAsia="it-IT"/>
        </w:rPr>
        <w:t xml:space="preserve"> e i suoi figli) e poi, con l’aiuto di Sparta, li aveva avversati.</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La critica al sistema politico ateniese incomincia con un opuscolo, </w:t>
      </w:r>
      <w:proofErr w:type="spellStart"/>
      <w:r w:rsidRPr="00EA091A">
        <w:rPr>
          <w:rFonts w:ascii="Arial" w:eastAsia="Times New Roman" w:hAnsi="Arial" w:cs="Arial"/>
          <w:i/>
          <w:iCs/>
          <w:color w:val="000000"/>
          <w:sz w:val="24"/>
          <w:szCs w:val="24"/>
          <w:lang w:eastAsia="it-IT"/>
        </w:rPr>
        <w:t>Athenaion</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Politeia</w:t>
      </w:r>
      <w:proofErr w:type="spellEnd"/>
      <w:r w:rsidRPr="00EA091A">
        <w:rPr>
          <w:rFonts w:ascii="Arial" w:eastAsia="Times New Roman" w:hAnsi="Arial" w:cs="Arial"/>
          <w:color w:val="000000"/>
          <w:sz w:val="24"/>
          <w:szCs w:val="24"/>
          <w:lang w:eastAsia="it-IT"/>
        </w:rPr>
        <w:t xml:space="preserve">, attribuibile a </w:t>
      </w:r>
      <w:proofErr w:type="spellStart"/>
      <w:r w:rsidRPr="00EA091A">
        <w:rPr>
          <w:rFonts w:ascii="Arial" w:eastAsia="Times New Roman" w:hAnsi="Arial" w:cs="Arial"/>
          <w:color w:val="000000"/>
          <w:sz w:val="24"/>
          <w:szCs w:val="24"/>
          <w:lang w:eastAsia="it-IT"/>
        </w:rPr>
        <w:t>Crizia</w:t>
      </w:r>
      <w:proofErr w:type="spellEnd"/>
      <w:r w:rsidRPr="00EA091A">
        <w:rPr>
          <w:rFonts w:ascii="Arial" w:eastAsia="Times New Roman" w:hAnsi="Arial" w:cs="Arial"/>
          <w:color w:val="000000"/>
          <w:sz w:val="24"/>
          <w:szCs w:val="24"/>
          <w:lang w:eastAsia="it-IT"/>
        </w:rPr>
        <w:t>, il capo dell’oligarchia detta dei «trenta tiranni» (404), e con suo nipote Platone. In entrambi, ma soprattutto in Platone, il connubio perversamente demagogico tra gruppi sociali abbienti e popolo è la sostanza stessa della «democrazia» (</w:t>
      </w:r>
      <w:r w:rsidRPr="00EA091A">
        <w:rPr>
          <w:rFonts w:ascii="Arial" w:eastAsia="Times New Roman" w:hAnsi="Arial" w:cs="Arial"/>
          <w:i/>
          <w:iCs/>
          <w:color w:val="000000"/>
          <w:sz w:val="24"/>
          <w:szCs w:val="24"/>
          <w:lang w:eastAsia="it-IT"/>
        </w:rPr>
        <w:t>Repubblica</w:t>
      </w:r>
      <w:r w:rsidRPr="00EA091A">
        <w:rPr>
          <w:rFonts w:ascii="Arial" w:eastAsia="Times New Roman" w:hAnsi="Arial" w:cs="Arial"/>
          <w:color w:val="000000"/>
          <w:sz w:val="24"/>
          <w:szCs w:val="24"/>
          <w:lang w:eastAsia="it-IT"/>
        </w:rPr>
        <w:t xml:space="preserve">, VIII). Non è inutile ricordare che </w:t>
      </w:r>
      <w:proofErr w:type="spellStart"/>
      <w:r w:rsidRPr="00EA091A">
        <w:rPr>
          <w:rFonts w:ascii="Arial" w:eastAsia="Times New Roman" w:hAnsi="Arial" w:cs="Arial"/>
          <w:color w:val="000000"/>
          <w:sz w:val="24"/>
          <w:szCs w:val="24"/>
          <w:lang w:eastAsia="it-IT"/>
        </w:rPr>
        <w:t>Crizia</w:t>
      </w:r>
      <w:proofErr w:type="spellEnd"/>
      <w:r w:rsidRPr="00EA091A">
        <w:rPr>
          <w:rFonts w:ascii="Arial" w:eastAsia="Times New Roman" w:hAnsi="Arial" w:cs="Arial"/>
          <w:color w:val="000000"/>
          <w:sz w:val="24"/>
          <w:szCs w:val="24"/>
          <w:lang w:eastAsia="it-IT"/>
        </w:rPr>
        <w:t>, ma anche Platone, furono ammiratori del «modello spartano». Questa critica, che in Platone si presenta nella forma più compiuta, ha avuto una influenza enorme nelle epoche successive, a partire dall’età romana e fino all’età nostra.</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Quando nell’Europa del sec. 19°, finita da un pezzo l’esperienza giacobina, si fa strada un modello «democratico» che è il risultato dell’incontro-scontro tra istanze popolari e predominio parlamentare di </w:t>
      </w:r>
      <w:r w:rsidRPr="00EA091A">
        <w:rPr>
          <w:rFonts w:ascii="Arial" w:eastAsia="Times New Roman" w:hAnsi="Arial" w:cs="Arial"/>
          <w:i/>
          <w:iCs/>
          <w:color w:val="000000"/>
          <w:sz w:val="24"/>
          <w:szCs w:val="24"/>
          <w:lang w:eastAsia="it-IT"/>
        </w:rPr>
        <w:t>élite </w:t>
      </w:r>
      <w:r w:rsidRPr="00EA091A">
        <w:rPr>
          <w:rFonts w:ascii="Arial" w:eastAsia="Times New Roman" w:hAnsi="Arial" w:cs="Arial"/>
          <w:color w:val="000000"/>
          <w:sz w:val="24"/>
          <w:szCs w:val="24"/>
          <w:lang w:eastAsia="it-IT"/>
        </w:rPr>
        <w:t xml:space="preserve">proprietarie, e via via il modello si invera attraverso l’estensione del suffragio, la storiografia liberale «progressista» (G.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simpatizza vivamente per Atene, in cui ravvisa il proprio modello remoto, mentre la storiografia conservatrice (E. </w:t>
      </w:r>
      <w:proofErr w:type="spellStart"/>
      <w:r w:rsidRPr="00EA091A">
        <w:rPr>
          <w:rFonts w:ascii="Arial" w:eastAsia="Times New Roman" w:hAnsi="Arial" w:cs="Arial"/>
          <w:color w:val="000000"/>
          <w:sz w:val="24"/>
          <w:szCs w:val="24"/>
          <w:lang w:eastAsia="it-IT"/>
        </w:rPr>
        <w:t>Meyer</w:t>
      </w:r>
      <w:proofErr w:type="spellEnd"/>
      <w:r w:rsidRPr="00EA091A">
        <w:rPr>
          <w:rFonts w:ascii="Arial" w:eastAsia="Times New Roman" w:hAnsi="Arial" w:cs="Arial"/>
          <w:color w:val="000000"/>
          <w:sz w:val="24"/>
          <w:szCs w:val="24"/>
          <w:lang w:eastAsia="it-IT"/>
        </w:rPr>
        <w:t xml:space="preserve">, U. </w:t>
      </w:r>
      <w:proofErr w:type="spellStart"/>
      <w:r w:rsidRPr="00EA091A">
        <w:rPr>
          <w:rFonts w:ascii="Arial" w:eastAsia="Times New Roman" w:hAnsi="Arial" w:cs="Arial"/>
          <w:color w:val="000000"/>
          <w:sz w:val="24"/>
          <w:szCs w:val="24"/>
          <w:lang w:eastAsia="it-IT"/>
        </w:rPr>
        <w:t>Wilamowitz-Moellendorff</w:t>
      </w:r>
      <w:proofErr w:type="spellEnd"/>
      <w:r w:rsidRPr="00EA091A">
        <w:rPr>
          <w:rFonts w:ascii="Arial" w:eastAsia="Times New Roman" w:hAnsi="Arial" w:cs="Arial"/>
          <w:color w:val="000000"/>
          <w:sz w:val="24"/>
          <w:szCs w:val="24"/>
          <w:lang w:eastAsia="it-IT"/>
        </w:rPr>
        <w:t xml:space="preserve"> , K.J. </w:t>
      </w:r>
      <w:proofErr w:type="spellStart"/>
      <w:r w:rsidRPr="00EA091A">
        <w:rPr>
          <w:rFonts w:ascii="Arial" w:eastAsia="Times New Roman" w:hAnsi="Arial" w:cs="Arial"/>
          <w:color w:val="000000"/>
          <w:sz w:val="24"/>
          <w:szCs w:val="24"/>
          <w:lang w:eastAsia="it-IT"/>
        </w:rPr>
        <w:t>Beloch</w:t>
      </w:r>
      <w:proofErr w:type="spellEnd"/>
      <w:r w:rsidRPr="00EA091A">
        <w:rPr>
          <w:rFonts w:ascii="Arial" w:eastAsia="Times New Roman" w:hAnsi="Arial" w:cs="Arial"/>
          <w:color w:val="000000"/>
          <w:sz w:val="24"/>
          <w:szCs w:val="24"/>
          <w:lang w:eastAsia="it-IT"/>
        </w:rPr>
        <w:t xml:space="preserve">, J. </w:t>
      </w:r>
      <w:proofErr w:type="spellStart"/>
      <w:r w:rsidRPr="00EA091A">
        <w:rPr>
          <w:rFonts w:ascii="Arial" w:eastAsia="Times New Roman" w:hAnsi="Arial" w:cs="Arial"/>
          <w:color w:val="000000"/>
          <w:sz w:val="24"/>
          <w:szCs w:val="24"/>
          <w:lang w:eastAsia="it-IT"/>
        </w:rPr>
        <w:t>Bogner</w:t>
      </w:r>
      <w:proofErr w:type="spellEnd"/>
      <w:r w:rsidRPr="00EA091A">
        <w:rPr>
          <w:rFonts w:ascii="Arial" w:eastAsia="Times New Roman" w:hAnsi="Arial" w:cs="Arial"/>
          <w:color w:val="000000"/>
          <w:sz w:val="24"/>
          <w:szCs w:val="24"/>
          <w:lang w:eastAsia="it-IT"/>
        </w:rPr>
        <w:t>) la avversa come antecedente remoto del modello «terza repubblica francese».</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Nella seconda parte della </w:t>
      </w:r>
      <w:proofErr w:type="spellStart"/>
      <w:r w:rsidRPr="00EA091A">
        <w:rPr>
          <w:rFonts w:ascii="Arial" w:eastAsia="Times New Roman" w:hAnsi="Arial" w:cs="Arial"/>
          <w:i/>
          <w:iCs/>
          <w:color w:val="000000"/>
          <w:sz w:val="24"/>
          <w:szCs w:val="24"/>
          <w:lang w:eastAsia="it-IT"/>
        </w:rPr>
        <w:t>History</w:t>
      </w:r>
      <w:proofErr w:type="spellEnd"/>
      <w:r w:rsidRPr="00EA091A">
        <w:rPr>
          <w:rFonts w:ascii="Arial" w:eastAsia="Times New Roman" w:hAnsi="Arial" w:cs="Arial"/>
          <w:i/>
          <w:iCs/>
          <w:color w:val="000000"/>
          <w:sz w:val="24"/>
          <w:szCs w:val="24"/>
          <w:lang w:eastAsia="it-IT"/>
        </w:rPr>
        <w:t xml:space="preserve"> of </w:t>
      </w:r>
      <w:proofErr w:type="spellStart"/>
      <w:r w:rsidRPr="00EA091A">
        <w:rPr>
          <w:rFonts w:ascii="Arial" w:eastAsia="Times New Roman" w:hAnsi="Arial" w:cs="Arial"/>
          <w:i/>
          <w:iCs/>
          <w:color w:val="000000"/>
          <w:sz w:val="24"/>
          <w:szCs w:val="24"/>
          <w:lang w:eastAsia="it-IT"/>
        </w:rPr>
        <w:t>Greece</w:t>
      </w:r>
      <w:proofErr w:type="spellEnd"/>
      <w:r w:rsidRPr="00EA091A">
        <w:rPr>
          <w:rFonts w:ascii="Arial" w:eastAsia="Times New Roman" w:hAnsi="Arial" w:cs="Arial"/>
          <w:color w:val="000000"/>
          <w:sz w:val="24"/>
          <w:szCs w:val="24"/>
          <w:lang w:eastAsia="it-IT"/>
        </w:rPr>
        <w:t> (1862</w:t>
      </w:r>
      <w:r w:rsidRPr="00EA091A">
        <w:rPr>
          <w:rFonts w:ascii="Arial" w:eastAsia="Times New Roman" w:hAnsi="Arial" w:cs="Arial"/>
          <w:color w:val="000000"/>
          <w:sz w:val="18"/>
          <w:szCs w:val="18"/>
          <w:vertAlign w:val="superscript"/>
          <w:lang w:eastAsia="it-IT"/>
        </w:rPr>
        <w:t>2</w:t>
      </w:r>
      <w:r w:rsidRPr="00EA091A">
        <w:rPr>
          <w:rFonts w:ascii="Arial" w:eastAsia="Times New Roman" w:hAnsi="Arial" w:cs="Arial"/>
          <w:color w:val="000000"/>
          <w:sz w:val="24"/>
          <w:szCs w:val="24"/>
          <w:lang w:eastAsia="it-IT"/>
        </w:rPr>
        <w:t xml:space="preserve">, XLVI), G.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descrive il funzionamento della democrazia ateniese con adesione simpatetica in vivace opposizione rispetto alle critiche tradizionali. Prende le mosse dalla descrizione dei «partiti»: «Pericle ed </w:t>
      </w:r>
      <w:proofErr w:type="spellStart"/>
      <w:r w:rsidRPr="00EA091A">
        <w:rPr>
          <w:rFonts w:ascii="Arial" w:eastAsia="Times New Roman" w:hAnsi="Arial" w:cs="Arial"/>
          <w:color w:val="000000"/>
          <w:sz w:val="24"/>
          <w:szCs w:val="24"/>
          <w:lang w:eastAsia="it-IT"/>
        </w:rPr>
        <w:t>Efialte</w:t>
      </w:r>
      <w:proofErr w:type="spellEnd"/>
      <w:r w:rsidRPr="00EA091A">
        <w:rPr>
          <w:rFonts w:ascii="Arial" w:eastAsia="Times New Roman" w:hAnsi="Arial" w:cs="Arial"/>
          <w:color w:val="000000"/>
          <w:sz w:val="24"/>
          <w:szCs w:val="24"/>
          <w:lang w:eastAsia="it-IT"/>
        </w:rPr>
        <w:t xml:space="preserve"> democratici; Cimone oligarchico e conservatore». Già qui si coglie una forzatura, giacché difficilmente si potrebbe definire «oligarchico» un politico, quale Cimone, il quale accetta il gioco politico assembleare: «oligarchi» sono piuttosto coloro che, come </w:t>
      </w:r>
      <w:proofErr w:type="spellStart"/>
      <w:r w:rsidRPr="00EA091A">
        <w:rPr>
          <w:rFonts w:ascii="Arial" w:eastAsia="Times New Roman" w:hAnsi="Arial" w:cs="Arial"/>
          <w:color w:val="000000"/>
          <w:sz w:val="24"/>
          <w:szCs w:val="24"/>
          <w:lang w:eastAsia="it-IT"/>
        </w:rPr>
        <w:t>Antifonte</w:t>
      </w:r>
      <w:proofErr w:type="spellEnd"/>
      <w:r w:rsidRPr="00EA091A">
        <w:rPr>
          <w:rFonts w:ascii="Arial" w:eastAsia="Times New Roman" w:hAnsi="Arial" w:cs="Arial"/>
          <w:color w:val="000000"/>
          <w:sz w:val="24"/>
          <w:szCs w:val="24"/>
          <w:lang w:eastAsia="it-IT"/>
        </w:rPr>
        <w:t xml:space="preserve"> e </w:t>
      </w:r>
      <w:proofErr w:type="spellStart"/>
      <w:r w:rsidRPr="00EA091A">
        <w:rPr>
          <w:rFonts w:ascii="Arial" w:eastAsia="Times New Roman" w:hAnsi="Arial" w:cs="Arial"/>
          <w:color w:val="000000"/>
          <w:sz w:val="24"/>
          <w:szCs w:val="24"/>
          <w:lang w:eastAsia="it-IT"/>
        </w:rPr>
        <w:t>Crizia</w:t>
      </w:r>
      <w:proofErr w:type="spellEnd"/>
      <w:r w:rsidRPr="00EA091A">
        <w:rPr>
          <w:rFonts w:ascii="Arial" w:eastAsia="Times New Roman" w:hAnsi="Arial" w:cs="Arial"/>
          <w:color w:val="000000"/>
          <w:sz w:val="24"/>
          <w:szCs w:val="24"/>
          <w:lang w:eastAsia="it-IT"/>
        </w:rPr>
        <w:t xml:space="preserve">, non avendo alcuna fiducia in un organismo incontrollabile e a loro avviso «incompetente» come l’assemblea popolare, puntano al colpo di Stato col proposito di modificare radicalmente l’ordinamento politico della città. Non sfuggirà ovviamente la brillante attualizzazione, comune un po’ a tutta la storiografia ottocentesca sull’antica Grecia, che porta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a parlare di «partiti», con l’interessante dettaglio di imputare </w:t>
      </w:r>
      <w:r w:rsidRPr="00EA091A">
        <w:rPr>
          <w:rFonts w:ascii="Arial" w:eastAsia="Times New Roman" w:hAnsi="Arial" w:cs="Arial"/>
          <w:color w:val="000000"/>
          <w:sz w:val="24"/>
          <w:szCs w:val="24"/>
          <w:lang w:eastAsia="it-IT"/>
        </w:rPr>
        <w:lastRenderedPageBreak/>
        <w:t xml:space="preserve">proprio a Cimone un comportamento «demagogico»: evidentemente con riferimento alla «generosità», rimarcata da Plutarco, di Cimone nel mettere a disposizione dei cittadini i suoi giardini e i suoi frutteti. Giustamente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focalizza la sua attenzione sul funzionamento dei tribunali popolari e sull’abbattimento del potere dell’areopago, ridimensionato, nei suoi poteri, dalla riforma di </w:t>
      </w:r>
      <w:proofErr w:type="spellStart"/>
      <w:r w:rsidRPr="00EA091A">
        <w:rPr>
          <w:rFonts w:ascii="Arial" w:eastAsia="Times New Roman" w:hAnsi="Arial" w:cs="Arial"/>
          <w:color w:val="000000"/>
          <w:sz w:val="24"/>
          <w:szCs w:val="24"/>
          <w:lang w:eastAsia="it-IT"/>
        </w:rPr>
        <w:t>Efialte</w:t>
      </w:r>
      <w:proofErr w:type="spellEnd"/>
      <w:r w:rsidRPr="00EA091A">
        <w:rPr>
          <w:rFonts w:ascii="Arial" w:eastAsia="Times New Roman" w:hAnsi="Arial" w:cs="Arial"/>
          <w:color w:val="000000"/>
          <w:sz w:val="24"/>
          <w:szCs w:val="24"/>
          <w:lang w:eastAsia="it-IT"/>
        </w:rPr>
        <w:t xml:space="preserve"> appoggiato dal giovanissimo Pericle.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difende il buon nome dei tribunali popolari ateniesi, di solito considerati il punto di forza del predominio popolare contro i ceti abbienti. E invoca a difesa due argomenti: </w:t>
      </w:r>
      <w:r w:rsidRPr="00EA091A">
        <w:rPr>
          <w:rFonts w:ascii="Arial" w:eastAsia="Times New Roman" w:hAnsi="Arial" w:cs="Arial"/>
          <w:i/>
          <w:iCs/>
          <w:color w:val="000000"/>
          <w:sz w:val="24"/>
          <w:szCs w:val="24"/>
          <w:lang w:eastAsia="it-IT"/>
        </w:rPr>
        <w:t>a</w:t>
      </w:r>
      <w:r w:rsidRPr="00EA091A">
        <w:rPr>
          <w:rFonts w:ascii="Arial" w:eastAsia="Times New Roman" w:hAnsi="Arial" w:cs="Arial"/>
          <w:color w:val="000000"/>
          <w:sz w:val="24"/>
          <w:szCs w:val="24"/>
          <w:lang w:eastAsia="it-IT"/>
        </w:rPr>
        <w:t>) l’elevato numero dei componenti ciascuna corte fu «fondamentale per escludere la corruzione»; </w:t>
      </w:r>
      <w:r w:rsidRPr="00EA091A">
        <w:rPr>
          <w:rFonts w:ascii="Arial" w:eastAsia="Times New Roman" w:hAnsi="Arial" w:cs="Arial"/>
          <w:i/>
          <w:iCs/>
          <w:color w:val="000000"/>
          <w:sz w:val="24"/>
          <w:szCs w:val="24"/>
          <w:lang w:eastAsia="it-IT"/>
        </w:rPr>
        <w:t>b</w:t>
      </w:r>
      <w:r w:rsidRPr="00EA091A">
        <w:rPr>
          <w:rFonts w:ascii="Arial" w:eastAsia="Times New Roman" w:hAnsi="Arial" w:cs="Arial"/>
          <w:color w:val="000000"/>
          <w:sz w:val="24"/>
          <w:szCs w:val="24"/>
          <w:lang w:eastAsia="it-IT"/>
        </w:rPr>
        <w:t xml:space="preserve">) i tribunali non erano composti solo di poveri, ma anche di cittadini appartenenti alle classi medie.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afferma inoltre che la democrazia ateniese sarebbe rimasta immutata fino all’instaurazione, alla fine del 4° sec., dell’egemonia macedone. Ciò però significa sottovalutare il cambiamento prodottosi via via dopo la guerra civile del 404/403: nella democrazia restaurata si accentua la professionalizzazione del ceto politico (W. </w:t>
      </w:r>
      <w:proofErr w:type="spellStart"/>
      <w:r w:rsidRPr="00EA091A">
        <w:rPr>
          <w:rFonts w:ascii="Arial" w:eastAsia="Times New Roman" w:hAnsi="Arial" w:cs="Arial"/>
          <w:color w:val="000000"/>
          <w:sz w:val="24"/>
          <w:szCs w:val="24"/>
          <w:lang w:eastAsia="it-IT"/>
        </w:rPr>
        <w:t>Pilz</w:t>
      </w:r>
      <w:proofErr w:type="spellEnd"/>
      <w:r w:rsidRPr="00EA091A">
        <w:rPr>
          <w:rFonts w:ascii="Arial" w:eastAsia="Times New Roman" w:hAnsi="Arial" w:cs="Arial"/>
          <w:color w:val="000000"/>
          <w:sz w:val="24"/>
          <w:szCs w:val="24"/>
          <w:lang w:eastAsia="it-IT"/>
        </w:rPr>
        <w:t>, </w:t>
      </w:r>
      <w:proofErr w:type="spellStart"/>
      <w:r w:rsidRPr="00EA091A">
        <w:rPr>
          <w:rFonts w:ascii="Arial" w:eastAsia="Times New Roman" w:hAnsi="Arial" w:cs="Arial"/>
          <w:i/>
          <w:iCs/>
          <w:color w:val="000000"/>
          <w:sz w:val="24"/>
          <w:szCs w:val="24"/>
          <w:lang w:eastAsia="it-IT"/>
        </w:rPr>
        <w:t>Der</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Rhetor</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im</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attischen</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Staat</w:t>
      </w:r>
      <w:proofErr w:type="spellEnd"/>
      <w:r w:rsidRPr="00EA091A">
        <w:rPr>
          <w:rFonts w:ascii="Arial" w:eastAsia="Times New Roman" w:hAnsi="Arial" w:cs="Arial"/>
          <w:color w:val="000000"/>
          <w:sz w:val="24"/>
          <w:szCs w:val="24"/>
          <w:lang w:eastAsia="it-IT"/>
        </w:rPr>
        <w:t xml:space="preserve">, 1934) e viene meno l’indistinzione tra ruolo politico e ruolo militare. Inoltre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attenua molto l’aspra realtà della insofferenza degli alleati, divenuti ormai sudditi nei confronti della città egemone, Atene. E ciò, nonostante Pericle stesso abbia definito l’impero «tirannide» in un discorso attribuitogli da Tucidide (II, 63, 2). Per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si trattava piuttosto di «indifferenza o acquiescenza e non di sentimenti di odio».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conosce ovviamente il celebre giudizio di Tucidide su Pericle come </w:t>
      </w:r>
      <w:r w:rsidRPr="00EA091A">
        <w:rPr>
          <w:rFonts w:ascii="Arial" w:eastAsia="Times New Roman" w:hAnsi="Arial" w:cs="Arial"/>
          <w:i/>
          <w:iCs/>
          <w:color w:val="000000"/>
          <w:sz w:val="24"/>
          <w:szCs w:val="24"/>
          <w:lang w:eastAsia="it-IT"/>
        </w:rPr>
        <w:t>leader </w:t>
      </w:r>
      <w:r w:rsidRPr="00EA091A">
        <w:rPr>
          <w:rFonts w:ascii="Arial" w:eastAsia="Times New Roman" w:hAnsi="Arial" w:cs="Arial"/>
          <w:color w:val="000000"/>
          <w:sz w:val="24"/>
          <w:szCs w:val="24"/>
          <w:lang w:eastAsia="it-IT"/>
        </w:rPr>
        <w:t>di una «democrazia che era tale solo a parole», ma mette a frutto altre parti di quella importante pagina, e tralascia del tutto la lettura estremamente significativa del ruolo «monarchico» di Pericle data da T. Hobbes, nella importante sua prefazione alla traduzione inglese dell’opera tucididea (1648): lettura che trova riscontro non solo nel soppesato giudizio tucidideo (II, 65, 9), ma anche nell’implacata polemica dei comici, i quali, dalla scena (come riferisce Plutarco), lanciavano a Pericle l’accusa di nutrire aspirazioni tiranniche e lo esortavano addirittura a «deporre la tirannide» (</w:t>
      </w:r>
      <w:r w:rsidRPr="00EA091A">
        <w:rPr>
          <w:rFonts w:ascii="Arial" w:eastAsia="Times New Roman" w:hAnsi="Arial" w:cs="Arial"/>
          <w:i/>
          <w:iCs/>
          <w:color w:val="000000"/>
          <w:sz w:val="24"/>
          <w:szCs w:val="24"/>
          <w:lang w:eastAsia="it-IT"/>
        </w:rPr>
        <w:t>Vita di Pericle</w:t>
      </w:r>
      <w:r w:rsidRPr="00EA091A">
        <w:rPr>
          <w:rFonts w:ascii="Arial" w:eastAsia="Times New Roman" w:hAnsi="Arial" w:cs="Arial"/>
          <w:color w:val="000000"/>
          <w:sz w:val="24"/>
          <w:szCs w:val="24"/>
          <w:lang w:eastAsia="it-IT"/>
        </w:rPr>
        <w:t>, 16).</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 xml:space="preserve">Alla luce di tutto ciò, non stupisce lo sguardo positivo che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rivolge anche a una figura tradizionalmente malvista quale </w:t>
      </w:r>
      <w:proofErr w:type="spellStart"/>
      <w:r w:rsidRPr="00EA091A">
        <w:rPr>
          <w:rFonts w:ascii="Arial" w:eastAsia="Times New Roman" w:hAnsi="Arial" w:cs="Arial"/>
          <w:color w:val="000000"/>
          <w:sz w:val="24"/>
          <w:szCs w:val="24"/>
          <w:lang w:eastAsia="it-IT"/>
        </w:rPr>
        <w:t>Cleone</w:t>
      </w:r>
      <w:proofErr w:type="spellEnd"/>
      <w:r w:rsidRPr="00EA091A">
        <w:rPr>
          <w:rFonts w:ascii="Arial" w:eastAsia="Times New Roman" w:hAnsi="Arial" w:cs="Arial"/>
          <w:color w:val="000000"/>
          <w:sz w:val="24"/>
          <w:szCs w:val="24"/>
          <w:lang w:eastAsia="it-IT"/>
        </w:rPr>
        <w:t xml:space="preserve">. In questo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era stato preceduto dal grande J.G. </w:t>
      </w:r>
      <w:proofErr w:type="spellStart"/>
      <w:r w:rsidRPr="00EA091A">
        <w:rPr>
          <w:rFonts w:ascii="Arial" w:eastAsia="Times New Roman" w:hAnsi="Arial" w:cs="Arial"/>
          <w:color w:val="000000"/>
          <w:sz w:val="24"/>
          <w:szCs w:val="24"/>
          <w:lang w:eastAsia="it-IT"/>
        </w:rPr>
        <w:t>Droysen</w:t>
      </w:r>
      <w:proofErr w:type="spellEnd"/>
      <w:r w:rsidRPr="00EA091A">
        <w:rPr>
          <w:rFonts w:ascii="Arial" w:eastAsia="Times New Roman" w:hAnsi="Arial" w:cs="Arial"/>
          <w:color w:val="000000"/>
          <w:sz w:val="24"/>
          <w:szCs w:val="24"/>
          <w:lang w:eastAsia="it-IT"/>
        </w:rPr>
        <w:t>, nel saggio sui </w:t>
      </w:r>
      <w:r w:rsidRPr="00EA091A">
        <w:rPr>
          <w:rFonts w:ascii="Arial" w:eastAsia="Times New Roman" w:hAnsi="Arial" w:cs="Arial"/>
          <w:i/>
          <w:iCs/>
          <w:color w:val="000000"/>
          <w:sz w:val="24"/>
          <w:szCs w:val="24"/>
          <w:lang w:eastAsia="it-IT"/>
        </w:rPr>
        <w:t>Cavalieri </w:t>
      </w:r>
      <w:r w:rsidRPr="00EA091A">
        <w:rPr>
          <w:rFonts w:ascii="Arial" w:eastAsia="Times New Roman" w:hAnsi="Arial" w:cs="Arial"/>
          <w:color w:val="000000"/>
          <w:sz w:val="24"/>
          <w:szCs w:val="24"/>
          <w:lang w:eastAsia="it-IT"/>
        </w:rPr>
        <w:t>di Aristofane (1838</w:t>
      </w:r>
      <w:r w:rsidRPr="00EA091A">
        <w:rPr>
          <w:rFonts w:ascii="Arial" w:eastAsia="Times New Roman" w:hAnsi="Arial" w:cs="Arial"/>
          <w:color w:val="000000"/>
          <w:sz w:val="18"/>
          <w:szCs w:val="18"/>
          <w:vertAlign w:val="superscript"/>
          <w:lang w:eastAsia="it-IT"/>
        </w:rPr>
        <w:t>2</w:t>
      </w:r>
      <w:r w:rsidRPr="00EA091A">
        <w:rPr>
          <w:rFonts w:ascii="Arial" w:eastAsia="Times New Roman" w:hAnsi="Arial" w:cs="Arial"/>
          <w:color w:val="000000"/>
          <w:sz w:val="24"/>
          <w:szCs w:val="24"/>
          <w:lang w:eastAsia="it-IT"/>
        </w:rPr>
        <w:t xml:space="preserve">). </w:t>
      </w:r>
      <w:proofErr w:type="spellStart"/>
      <w:r w:rsidRPr="00EA091A">
        <w:rPr>
          <w:rFonts w:ascii="Arial" w:eastAsia="Times New Roman" w:hAnsi="Arial" w:cs="Arial"/>
          <w:color w:val="000000"/>
          <w:sz w:val="24"/>
          <w:szCs w:val="24"/>
          <w:lang w:eastAsia="it-IT"/>
        </w:rPr>
        <w:t>Droysen</w:t>
      </w:r>
      <w:proofErr w:type="spellEnd"/>
      <w:r w:rsidRPr="00EA091A">
        <w:rPr>
          <w:rFonts w:ascii="Arial" w:eastAsia="Times New Roman" w:hAnsi="Arial" w:cs="Arial"/>
          <w:color w:val="000000"/>
          <w:sz w:val="24"/>
          <w:szCs w:val="24"/>
          <w:lang w:eastAsia="it-IT"/>
        </w:rPr>
        <w:t xml:space="preserve"> è ben conscio di esprimersi controcorrente in favore di </w:t>
      </w:r>
      <w:proofErr w:type="spellStart"/>
      <w:r w:rsidRPr="00EA091A">
        <w:rPr>
          <w:rFonts w:ascii="Arial" w:eastAsia="Times New Roman" w:hAnsi="Arial" w:cs="Arial"/>
          <w:color w:val="000000"/>
          <w:sz w:val="24"/>
          <w:szCs w:val="24"/>
          <w:lang w:eastAsia="it-IT"/>
        </w:rPr>
        <w:t>Cleone</w:t>
      </w:r>
      <w:proofErr w:type="spellEnd"/>
      <w:r w:rsidRPr="00EA091A">
        <w:rPr>
          <w:rFonts w:ascii="Arial" w:eastAsia="Times New Roman" w:hAnsi="Arial" w:cs="Arial"/>
          <w:color w:val="000000"/>
          <w:sz w:val="24"/>
          <w:szCs w:val="24"/>
          <w:lang w:eastAsia="it-IT"/>
        </w:rPr>
        <w:t xml:space="preserve">, e perciò scrive: «Nessuno si presterà a tessere le lodi del sanguinario Robespierre, o del selvaggio Mario; ma nella loro opera essi hanno incarnato i sentimenti e hanno ricevuto l’approvazione di migliaia di uomini dai quali li separava solo quell’infausta grandezza, o violenza di carattere che è capace di non </w:t>
      </w:r>
      <w:r w:rsidRPr="00EA091A">
        <w:rPr>
          <w:rFonts w:ascii="Arial" w:eastAsia="Times New Roman" w:hAnsi="Arial" w:cs="Arial"/>
          <w:color w:val="000000"/>
          <w:sz w:val="24"/>
          <w:szCs w:val="24"/>
          <w:lang w:eastAsia="it-IT"/>
        </w:rPr>
        <w:lastRenderedPageBreak/>
        <w:t>inorridire davanti all’azione» (</w:t>
      </w:r>
      <w:proofErr w:type="spellStart"/>
      <w:r w:rsidRPr="00EA091A">
        <w:rPr>
          <w:rFonts w:ascii="Arial" w:eastAsia="Times New Roman" w:hAnsi="Arial" w:cs="Arial"/>
          <w:color w:val="000000"/>
          <w:sz w:val="24"/>
          <w:szCs w:val="24"/>
          <w:lang w:eastAsia="it-IT"/>
        </w:rPr>
        <w:t>Droysen</w:t>
      </w:r>
      <w:proofErr w:type="spellEnd"/>
      <w:r w:rsidRPr="00EA091A">
        <w:rPr>
          <w:rFonts w:ascii="Arial" w:eastAsia="Times New Roman" w:hAnsi="Arial" w:cs="Arial"/>
          <w:color w:val="000000"/>
          <w:sz w:val="24"/>
          <w:szCs w:val="24"/>
          <w:lang w:eastAsia="it-IT"/>
        </w:rPr>
        <w:t>, </w:t>
      </w:r>
      <w:r w:rsidRPr="00EA091A">
        <w:rPr>
          <w:rFonts w:ascii="Arial" w:eastAsia="Times New Roman" w:hAnsi="Arial" w:cs="Arial"/>
          <w:i/>
          <w:iCs/>
          <w:color w:val="000000"/>
          <w:sz w:val="24"/>
          <w:szCs w:val="24"/>
          <w:lang w:eastAsia="it-IT"/>
        </w:rPr>
        <w:t>Aristofane: introduzione alle commedie</w:t>
      </w:r>
      <w:r w:rsidRPr="00EA091A">
        <w:rPr>
          <w:rFonts w:ascii="Arial" w:eastAsia="Times New Roman" w:hAnsi="Arial" w:cs="Arial"/>
          <w:color w:val="000000"/>
          <w:sz w:val="24"/>
          <w:szCs w:val="24"/>
          <w:lang w:eastAsia="it-IT"/>
        </w:rPr>
        <w:t>, a cura di G. Bonacina, 1998).</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Per meglio comprendere l’orientamento della </w:t>
      </w:r>
      <w:proofErr w:type="spellStart"/>
      <w:r w:rsidRPr="00EA091A">
        <w:rPr>
          <w:rFonts w:ascii="Arial" w:eastAsia="Times New Roman" w:hAnsi="Arial" w:cs="Arial"/>
          <w:i/>
          <w:iCs/>
          <w:color w:val="000000"/>
          <w:sz w:val="24"/>
          <w:szCs w:val="24"/>
          <w:lang w:eastAsia="it-IT"/>
        </w:rPr>
        <w:t>History</w:t>
      </w:r>
      <w:proofErr w:type="spellEnd"/>
      <w:r w:rsidRPr="00EA091A">
        <w:rPr>
          <w:rFonts w:ascii="Arial" w:eastAsia="Times New Roman" w:hAnsi="Arial" w:cs="Arial"/>
          <w:i/>
          <w:iCs/>
          <w:color w:val="000000"/>
          <w:sz w:val="24"/>
          <w:szCs w:val="24"/>
          <w:lang w:eastAsia="it-IT"/>
        </w:rPr>
        <w:t xml:space="preserve"> of </w:t>
      </w:r>
      <w:proofErr w:type="spellStart"/>
      <w:r w:rsidRPr="00EA091A">
        <w:rPr>
          <w:rFonts w:ascii="Arial" w:eastAsia="Times New Roman" w:hAnsi="Arial" w:cs="Arial"/>
          <w:i/>
          <w:iCs/>
          <w:color w:val="000000"/>
          <w:sz w:val="24"/>
          <w:szCs w:val="24"/>
          <w:lang w:eastAsia="it-IT"/>
        </w:rPr>
        <w:t>Greece</w:t>
      </w:r>
      <w:proofErr w:type="spellEnd"/>
      <w:r w:rsidRPr="00EA091A">
        <w:rPr>
          <w:rFonts w:ascii="Arial" w:eastAsia="Times New Roman" w:hAnsi="Arial" w:cs="Arial"/>
          <w:color w:val="000000"/>
          <w:sz w:val="24"/>
          <w:szCs w:val="24"/>
          <w:lang w:eastAsia="it-IT"/>
        </w:rPr>
        <w:t xml:space="preserve"> di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giova, certo, ricordare che nella sua formazione hanno avuto importanza J. </w:t>
      </w:r>
      <w:proofErr w:type="spellStart"/>
      <w:r w:rsidRPr="00EA091A">
        <w:rPr>
          <w:rFonts w:ascii="Arial" w:eastAsia="Times New Roman" w:hAnsi="Arial" w:cs="Arial"/>
          <w:color w:val="000000"/>
          <w:sz w:val="24"/>
          <w:szCs w:val="24"/>
          <w:lang w:eastAsia="it-IT"/>
        </w:rPr>
        <w:t>Mill</w:t>
      </w:r>
      <w:proofErr w:type="spellEnd"/>
      <w:r w:rsidRPr="00EA091A">
        <w:rPr>
          <w:rFonts w:ascii="Arial" w:eastAsia="Times New Roman" w:hAnsi="Arial" w:cs="Arial"/>
          <w:color w:val="000000"/>
          <w:sz w:val="24"/>
          <w:szCs w:val="24"/>
          <w:lang w:eastAsia="it-IT"/>
        </w:rPr>
        <w:t xml:space="preserve">, come insegnante di economia, e A. </w:t>
      </w:r>
      <w:proofErr w:type="spellStart"/>
      <w:r w:rsidRPr="00EA091A">
        <w:rPr>
          <w:rFonts w:ascii="Arial" w:eastAsia="Times New Roman" w:hAnsi="Arial" w:cs="Arial"/>
          <w:color w:val="000000"/>
          <w:sz w:val="24"/>
          <w:szCs w:val="24"/>
          <w:lang w:eastAsia="it-IT"/>
        </w:rPr>
        <w:t>Comte</w:t>
      </w:r>
      <w:proofErr w:type="spellEnd"/>
      <w:r w:rsidRPr="00EA091A">
        <w:rPr>
          <w:rFonts w:ascii="Arial" w:eastAsia="Times New Roman" w:hAnsi="Arial" w:cs="Arial"/>
          <w:color w:val="000000"/>
          <w:sz w:val="24"/>
          <w:szCs w:val="24"/>
          <w:lang w:eastAsia="it-IT"/>
        </w:rPr>
        <w:t xml:space="preserve">, come ispiratore di una visione filosofica del progresso umano. Ed è notevole che a conclusioni in alcuni casi non dissimili giungesse un </w:t>
      </w:r>
      <w:proofErr w:type="spellStart"/>
      <w:r w:rsidRPr="00EA091A">
        <w:rPr>
          <w:rFonts w:ascii="Arial" w:eastAsia="Times New Roman" w:hAnsi="Arial" w:cs="Arial"/>
          <w:color w:val="000000"/>
          <w:sz w:val="24"/>
          <w:szCs w:val="24"/>
          <w:lang w:eastAsia="it-IT"/>
        </w:rPr>
        <w:t>Droysen</w:t>
      </w:r>
      <w:proofErr w:type="spellEnd"/>
      <w:r w:rsidRPr="00EA091A">
        <w:rPr>
          <w:rFonts w:ascii="Arial" w:eastAsia="Times New Roman" w:hAnsi="Arial" w:cs="Arial"/>
          <w:color w:val="000000"/>
          <w:sz w:val="24"/>
          <w:szCs w:val="24"/>
          <w:lang w:eastAsia="it-IT"/>
        </w:rPr>
        <w:t xml:space="preserve">, la cui formazione era stata del tutto diversa, non estranea al pensiero storico di </w:t>
      </w:r>
      <w:proofErr w:type="spellStart"/>
      <w:r w:rsidRPr="00EA091A">
        <w:rPr>
          <w:rFonts w:ascii="Arial" w:eastAsia="Times New Roman" w:hAnsi="Arial" w:cs="Arial"/>
          <w:color w:val="000000"/>
          <w:sz w:val="24"/>
          <w:szCs w:val="24"/>
          <w:lang w:eastAsia="it-IT"/>
        </w:rPr>
        <w:t>Hegel</w:t>
      </w:r>
      <w:proofErr w:type="spellEnd"/>
      <w:r w:rsidRPr="00EA091A">
        <w:rPr>
          <w:rFonts w:ascii="Arial" w:eastAsia="Times New Roman" w:hAnsi="Arial" w:cs="Arial"/>
          <w:color w:val="000000"/>
          <w:sz w:val="24"/>
          <w:szCs w:val="24"/>
          <w:lang w:eastAsia="it-IT"/>
        </w:rPr>
        <w:t>. Il quale nelle </w:t>
      </w:r>
      <w:proofErr w:type="spellStart"/>
      <w:r w:rsidRPr="00EA091A">
        <w:rPr>
          <w:rFonts w:ascii="Arial" w:eastAsia="Times New Roman" w:hAnsi="Arial" w:cs="Arial"/>
          <w:i/>
          <w:iCs/>
          <w:color w:val="000000"/>
          <w:sz w:val="24"/>
          <w:szCs w:val="24"/>
          <w:lang w:eastAsia="it-IT"/>
        </w:rPr>
        <w:t>Vorlesungen</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über</w:t>
      </w:r>
      <w:proofErr w:type="spellEnd"/>
      <w:r w:rsidRPr="00EA091A">
        <w:rPr>
          <w:rFonts w:ascii="Arial" w:eastAsia="Times New Roman" w:hAnsi="Arial" w:cs="Arial"/>
          <w:i/>
          <w:iCs/>
          <w:color w:val="000000"/>
          <w:sz w:val="24"/>
          <w:szCs w:val="24"/>
          <w:lang w:eastAsia="it-IT"/>
        </w:rPr>
        <w:t xml:space="preserve"> die </w:t>
      </w:r>
      <w:proofErr w:type="spellStart"/>
      <w:r w:rsidRPr="00EA091A">
        <w:rPr>
          <w:rFonts w:ascii="Arial" w:eastAsia="Times New Roman" w:hAnsi="Arial" w:cs="Arial"/>
          <w:i/>
          <w:iCs/>
          <w:color w:val="000000"/>
          <w:sz w:val="24"/>
          <w:szCs w:val="24"/>
          <w:lang w:eastAsia="it-IT"/>
        </w:rPr>
        <w:t>Philosophie</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der</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Geschichte</w:t>
      </w:r>
      <w:proofErr w:type="spellEnd"/>
      <w:r w:rsidRPr="00EA091A">
        <w:rPr>
          <w:rFonts w:ascii="Arial" w:eastAsia="Times New Roman" w:hAnsi="Arial" w:cs="Arial"/>
          <w:color w:val="000000"/>
          <w:sz w:val="24"/>
          <w:szCs w:val="24"/>
          <w:lang w:eastAsia="it-IT"/>
        </w:rPr>
        <w:t> (1837) definì la democrazia greca «il capolavoro politico» e Pericle «l’uomo di Stato più profondamente colto, autentico e nobile».</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 xml:space="preserve">Del tutto diverso lo scenario, in ambiente tedesco, nell’epoca guglielmina. Il nome più importante è quello di E. </w:t>
      </w:r>
      <w:proofErr w:type="spellStart"/>
      <w:r w:rsidRPr="00EA091A">
        <w:rPr>
          <w:rFonts w:ascii="Arial" w:eastAsia="Times New Roman" w:hAnsi="Arial" w:cs="Arial"/>
          <w:color w:val="000000"/>
          <w:sz w:val="24"/>
          <w:szCs w:val="24"/>
          <w:lang w:eastAsia="it-IT"/>
        </w:rPr>
        <w:t>Meyer</w:t>
      </w:r>
      <w:proofErr w:type="spellEnd"/>
      <w:r w:rsidRPr="00EA091A">
        <w:rPr>
          <w:rFonts w:ascii="Arial" w:eastAsia="Times New Roman" w:hAnsi="Arial" w:cs="Arial"/>
          <w:color w:val="000000"/>
          <w:sz w:val="24"/>
          <w:szCs w:val="24"/>
          <w:lang w:eastAsia="it-IT"/>
        </w:rPr>
        <w:t xml:space="preserve">. Al contrario di </w:t>
      </w:r>
      <w:proofErr w:type="spellStart"/>
      <w:r w:rsidRPr="00EA091A">
        <w:rPr>
          <w:rFonts w:ascii="Arial" w:eastAsia="Times New Roman" w:hAnsi="Arial" w:cs="Arial"/>
          <w:color w:val="000000"/>
          <w:sz w:val="24"/>
          <w:szCs w:val="24"/>
          <w:lang w:eastAsia="it-IT"/>
        </w:rPr>
        <w:t>Grote</w:t>
      </w:r>
      <w:proofErr w:type="spellEnd"/>
      <w:r w:rsidRPr="00EA091A">
        <w:rPr>
          <w:rFonts w:ascii="Arial" w:eastAsia="Times New Roman" w:hAnsi="Arial" w:cs="Arial"/>
          <w:color w:val="000000"/>
          <w:sz w:val="24"/>
          <w:szCs w:val="24"/>
          <w:lang w:eastAsia="it-IT"/>
        </w:rPr>
        <w:t xml:space="preserve">, </w:t>
      </w:r>
      <w:proofErr w:type="spellStart"/>
      <w:r w:rsidRPr="00EA091A">
        <w:rPr>
          <w:rFonts w:ascii="Arial" w:eastAsia="Times New Roman" w:hAnsi="Arial" w:cs="Arial"/>
          <w:color w:val="000000"/>
          <w:sz w:val="24"/>
          <w:szCs w:val="24"/>
          <w:lang w:eastAsia="it-IT"/>
        </w:rPr>
        <w:t>Meyer</w:t>
      </w:r>
      <w:proofErr w:type="spellEnd"/>
      <w:r w:rsidRPr="00EA091A">
        <w:rPr>
          <w:rFonts w:ascii="Arial" w:eastAsia="Times New Roman" w:hAnsi="Arial" w:cs="Arial"/>
          <w:color w:val="000000"/>
          <w:sz w:val="24"/>
          <w:szCs w:val="24"/>
          <w:lang w:eastAsia="it-IT"/>
        </w:rPr>
        <w:t>, nella monumentale e purtroppo incompiuta </w:t>
      </w:r>
      <w:proofErr w:type="spellStart"/>
      <w:r w:rsidRPr="00EA091A">
        <w:rPr>
          <w:rFonts w:ascii="Arial" w:eastAsia="Times New Roman" w:hAnsi="Arial" w:cs="Arial"/>
          <w:i/>
          <w:iCs/>
          <w:color w:val="000000"/>
          <w:sz w:val="24"/>
          <w:szCs w:val="24"/>
          <w:lang w:eastAsia="it-IT"/>
        </w:rPr>
        <w:t>Geschichte</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des</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Altertums</w:t>
      </w:r>
      <w:proofErr w:type="spellEnd"/>
      <w:r w:rsidRPr="00EA091A">
        <w:rPr>
          <w:rFonts w:ascii="Arial" w:eastAsia="Times New Roman" w:hAnsi="Arial" w:cs="Arial"/>
          <w:color w:val="000000"/>
          <w:sz w:val="24"/>
          <w:szCs w:val="24"/>
          <w:lang w:eastAsia="it-IT"/>
        </w:rPr>
        <w:t> (IV, 1, 1911</w:t>
      </w:r>
      <w:r w:rsidRPr="00EA091A">
        <w:rPr>
          <w:rFonts w:ascii="Arial" w:eastAsia="Times New Roman" w:hAnsi="Arial" w:cs="Arial"/>
          <w:color w:val="000000"/>
          <w:sz w:val="18"/>
          <w:szCs w:val="18"/>
          <w:vertAlign w:val="superscript"/>
          <w:lang w:eastAsia="it-IT"/>
        </w:rPr>
        <w:t>2</w:t>
      </w:r>
      <w:r w:rsidRPr="00EA091A">
        <w:rPr>
          <w:rFonts w:ascii="Arial" w:eastAsia="Times New Roman" w:hAnsi="Arial" w:cs="Arial"/>
          <w:color w:val="000000"/>
          <w:sz w:val="24"/>
          <w:szCs w:val="24"/>
          <w:lang w:eastAsia="it-IT"/>
        </w:rPr>
        <w:t>; 1939</w:t>
      </w:r>
      <w:r w:rsidRPr="00EA091A">
        <w:rPr>
          <w:rFonts w:ascii="Arial" w:eastAsia="Times New Roman" w:hAnsi="Arial" w:cs="Arial"/>
          <w:color w:val="000000"/>
          <w:sz w:val="18"/>
          <w:szCs w:val="18"/>
          <w:vertAlign w:val="superscript"/>
          <w:lang w:eastAsia="it-IT"/>
        </w:rPr>
        <w:t>3</w:t>
      </w:r>
      <w:r w:rsidRPr="00EA091A">
        <w:rPr>
          <w:rFonts w:ascii="Arial" w:eastAsia="Times New Roman" w:hAnsi="Arial" w:cs="Arial"/>
          <w:color w:val="000000"/>
          <w:sz w:val="24"/>
          <w:szCs w:val="24"/>
          <w:lang w:eastAsia="it-IT"/>
        </w:rPr>
        <w:t xml:space="preserve">, a cura di H. </w:t>
      </w:r>
      <w:proofErr w:type="spellStart"/>
      <w:r w:rsidRPr="00EA091A">
        <w:rPr>
          <w:rFonts w:ascii="Arial" w:eastAsia="Times New Roman" w:hAnsi="Arial" w:cs="Arial"/>
          <w:color w:val="000000"/>
          <w:sz w:val="24"/>
          <w:szCs w:val="24"/>
          <w:lang w:eastAsia="it-IT"/>
        </w:rPr>
        <w:t>Stier</w:t>
      </w:r>
      <w:proofErr w:type="spellEnd"/>
      <w:r w:rsidRPr="00EA091A">
        <w:rPr>
          <w:rFonts w:ascii="Arial" w:eastAsia="Times New Roman" w:hAnsi="Arial" w:cs="Arial"/>
          <w:color w:val="000000"/>
          <w:sz w:val="24"/>
          <w:szCs w:val="24"/>
          <w:lang w:eastAsia="it-IT"/>
        </w:rPr>
        <w:t xml:space="preserve">), pone al centro della ricostruzione per l’appunto la smisurata e incongrua posizione di Pericle all’interno di un ordinamento «democratico». Eppure neanche </w:t>
      </w:r>
      <w:proofErr w:type="spellStart"/>
      <w:r w:rsidRPr="00EA091A">
        <w:rPr>
          <w:rFonts w:ascii="Arial" w:eastAsia="Times New Roman" w:hAnsi="Arial" w:cs="Arial"/>
          <w:color w:val="000000"/>
          <w:sz w:val="24"/>
          <w:szCs w:val="24"/>
          <w:lang w:eastAsia="it-IT"/>
        </w:rPr>
        <w:t>Meyer</w:t>
      </w:r>
      <w:proofErr w:type="spellEnd"/>
      <w:r w:rsidRPr="00EA091A">
        <w:rPr>
          <w:rFonts w:ascii="Arial" w:eastAsia="Times New Roman" w:hAnsi="Arial" w:cs="Arial"/>
          <w:color w:val="000000"/>
          <w:sz w:val="24"/>
          <w:szCs w:val="24"/>
          <w:lang w:eastAsia="it-IT"/>
        </w:rPr>
        <w:t xml:space="preserve"> mise a frutto l’intuizione hobbesiana intorno alla vera natura del potere di Pericle, ma puntò piuttosto sui difetti strutturali della democrazia antica (greca), antesignana, appunto, di quella «occidentale».</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 xml:space="preserve">Semmai Pericle gli appare come spinto sempre più verso un atteggiamento «conservatore» dopo, e per effetto, della conquista del potere assoluto. Valutazione storico-politica da non sottovalutare, nella quale si può forse riconoscere l’influsso della diagnosi plutarchea, secondo cui il governo di Pericle si manifestò come «aristocratico», «in quanto fondato sulla sua posizione di </w:t>
      </w:r>
      <w:proofErr w:type="spellStart"/>
      <w:r w:rsidRPr="00EA091A">
        <w:rPr>
          <w:rFonts w:ascii="Arial" w:eastAsia="Times New Roman" w:hAnsi="Arial" w:cs="Arial"/>
          <w:color w:val="000000"/>
          <w:sz w:val="24"/>
          <w:szCs w:val="24"/>
          <w:lang w:eastAsia="it-IT"/>
        </w:rPr>
        <w:t>princeps</w:t>
      </w:r>
      <w:proofErr w:type="spellEnd"/>
      <w:r w:rsidRPr="00EA091A">
        <w:rPr>
          <w:rFonts w:ascii="Arial" w:eastAsia="Times New Roman" w:hAnsi="Arial" w:cs="Arial"/>
          <w:color w:val="000000"/>
          <w:sz w:val="24"/>
          <w:szCs w:val="24"/>
          <w:lang w:eastAsia="it-IT"/>
        </w:rPr>
        <w:t>» (</w:t>
      </w:r>
      <w:r w:rsidRPr="00EA091A">
        <w:rPr>
          <w:rFonts w:ascii="Arial" w:eastAsia="Times New Roman" w:hAnsi="Arial" w:cs="Arial"/>
          <w:i/>
          <w:iCs/>
          <w:color w:val="000000"/>
          <w:sz w:val="24"/>
          <w:szCs w:val="24"/>
          <w:lang w:eastAsia="it-IT"/>
        </w:rPr>
        <w:t>Vita di Pericle</w:t>
      </w:r>
      <w:r w:rsidRPr="00EA091A">
        <w:rPr>
          <w:rFonts w:ascii="Arial" w:eastAsia="Times New Roman" w:hAnsi="Arial" w:cs="Arial"/>
          <w:color w:val="000000"/>
          <w:sz w:val="24"/>
          <w:szCs w:val="24"/>
          <w:lang w:eastAsia="it-IT"/>
        </w:rPr>
        <w:t xml:space="preserve">, 9,1). Plutarco interpretava così Tucidide II, 65, 9, e </w:t>
      </w:r>
      <w:proofErr w:type="spellStart"/>
      <w:r w:rsidRPr="00EA091A">
        <w:rPr>
          <w:rFonts w:ascii="Arial" w:eastAsia="Times New Roman" w:hAnsi="Arial" w:cs="Arial"/>
          <w:color w:val="000000"/>
          <w:sz w:val="24"/>
          <w:szCs w:val="24"/>
          <w:lang w:eastAsia="it-IT"/>
        </w:rPr>
        <w:t>Meyer</w:t>
      </w:r>
      <w:proofErr w:type="spellEnd"/>
      <w:r w:rsidRPr="00EA091A">
        <w:rPr>
          <w:rFonts w:ascii="Arial" w:eastAsia="Times New Roman" w:hAnsi="Arial" w:cs="Arial"/>
          <w:color w:val="000000"/>
          <w:sz w:val="24"/>
          <w:szCs w:val="24"/>
          <w:lang w:eastAsia="it-IT"/>
        </w:rPr>
        <w:t>, probabilmente, interpreta e valorizza Plutarco.</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 xml:space="preserve">È comunque degno di nota come anche </w:t>
      </w:r>
      <w:proofErr w:type="spellStart"/>
      <w:r w:rsidRPr="00EA091A">
        <w:rPr>
          <w:rFonts w:ascii="Arial" w:eastAsia="Times New Roman" w:hAnsi="Arial" w:cs="Arial"/>
          <w:color w:val="000000"/>
          <w:sz w:val="24"/>
          <w:szCs w:val="24"/>
          <w:lang w:eastAsia="it-IT"/>
        </w:rPr>
        <w:t>Meyer</w:t>
      </w:r>
      <w:proofErr w:type="spellEnd"/>
      <w:r w:rsidRPr="00EA091A">
        <w:rPr>
          <w:rFonts w:ascii="Arial" w:eastAsia="Times New Roman" w:hAnsi="Arial" w:cs="Arial"/>
          <w:color w:val="000000"/>
          <w:sz w:val="24"/>
          <w:szCs w:val="24"/>
          <w:lang w:eastAsia="it-IT"/>
        </w:rPr>
        <w:t xml:space="preserve"> resti almeno in parte impigliato nell’applicazione al mondo greco della moderna nozione di «partito politico».</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 xml:space="preserve">In tal senso, una terminologia esplicitamente modernizzante è presente invece nel quasi coevo saggio di M. </w:t>
      </w:r>
      <w:proofErr w:type="spellStart"/>
      <w:r w:rsidRPr="00EA091A">
        <w:rPr>
          <w:rFonts w:ascii="Arial" w:eastAsia="Times New Roman" w:hAnsi="Arial" w:cs="Arial"/>
          <w:color w:val="000000"/>
          <w:sz w:val="24"/>
          <w:szCs w:val="24"/>
          <w:lang w:eastAsia="it-IT"/>
        </w:rPr>
        <w:t>Croiset,</w:t>
      </w:r>
      <w:r w:rsidRPr="00EA091A">
        <w:rPr>
          <w:rFonts w:ascii="Arial" w:eastAsia="Times New Roman" w:hAnsi="Arial" w:cs="Arial"/>
          <w:i/>
          <w:iCs/>
          <w:color w:val="000000"/>
          <w:sz w:val="24"/>
          <w:szCs w:val="24"/>
          <w:lang w:eastAsia="it-IT"/>
        </w:rPr>
        <w:t>Aristophane</w:t>
      </w:r>
      <w:proofErr w:type="spellEnd"/>
      <w:r w:rsidRPr="00EA091A">
        <w:rPr>
          <w:rFonts w:ascii="Arial" w:eastAsia="Times New Roman" w:hAnsi="Arial" w:cs="Arial"/>
          <w:i/>
          <w:iCs/>
          <w:color w:val="000000"/>
          <w:sz w:val="24"/>
          <w:szCs w:val="24"/>
          <w:lang w:eastAsia="it-IT"/>
        </w:rPr>
        <w:t xml:space="preserve"> et </w:t>
      </w:r>
      <w:proofErr w:type="spellStart"/>
      <w:r w:rsidRPr="00EA091A">
        <w:rPr>
          <w:rFonts w:ascii="Arial" w:eastAsia="Times New Roman" w:hAnsi="Arial" w:cs="Arial"/>
          <w:i/>
          <w:iCs/>
          <w:color w:val="000000"/>
          <w:sz w:val="24"/>
          <w:szCs w:val="24"/>
          <w:lang w:eastAsia="it-IT"/>
        </w:rPr>
        <w:t>les</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partis</w:t>
      </w:r>
      <w:proofErr w:type="spellEnd"/>
      <w:r w:rsidRPr="00EA091A">
        <w:rPr>
          <w:rFonts w:ascii="Arial" w:eastAsia="Times New Roman" w:hAnsi="Arial" w:cs="Arial"/>
          <w:i/>
          <w:iCs/>
          <w:color w:val="000000"/>
          <w:sz w:val="24"/>
          <w:szCs w:val="24"/>
          <w:lang w:eastAsia="it-IT"/>
        </w:rPr>
        <w:t xml:space="preserve"> à </w:t>
      </w:r>
      <w:proofErr w:type="spellStart"/>
      <w:r w:rsidRPr="00EA091A">
        <w:rPr>
          <w:rFonts w:ascii="Arial" w:eastAsia="Times New Roman" w:hAnsi="Arial" w:cs="Arial"/>
          <w:i/>
          <w:iCs/>
          <w:color w:val="000000"/>
          <w:sz w:val="24"/>
          <w:szCs w:val="24"/>
          <w:lang w:eastAsia="it-IT"/>
        </w:rPr>
        <w:t>Athènes</w:t>
      </w:r>
      <w:proofErr w:type="spellEnd"/>
      <w:r w:rsidRPr="00EA091A">
        <w:rPr>
          <w:rFonts w:ascii="Arial" w:eastAsia="Times New Roman" w:hAnsi="Arial" w:cs="Arial"/>
          <w:color w:val="000000"/>
          <w:sz w:val="24"/>
          <w:szCs w:val="24"/>
          <w:lang w:eastAsia="it-IT"/>
        </w:rPr>
        <w:t xml:space="preserve"> (1906), dove si parla ripetutamente di «partito oligarchico», «democratico», «moderato», pur nell’imbarazzo di trovare una collocazione da assegnare ad Aristofane. Ben più pertinente, a tal proposito, </w:t>
      </w:r>
      <w:r w:rsidRPr="00EA091A">
        <w:rPr>
          <w:rFonts w:ascii="Arial" w:eastAsia="Times New Roman" w:hAnsi="Arial" w:cs="Arial"/>
          <w:color w:val="000000"/>
          <w:sz w:val="24"/>
          <w:szCs w:val="24"/>
          <w:lang w:eastAsia="it-IT"/>
        </w:rPr>
        <w:lastRenderedPageBreak/>
        <w:t xml:space="preserve">le pagine di G.E.M. De </w:t>
      </w:r>
      <w:proofErr w:type="spellStart"/>
      <w:r w:rsidRPr="00EA091A">
        <w:rPr>
          <w:rFonts w:ascii="Arial" w:eastAsia="Times New Roman" w:hAnsi="Arial" w:cs="Arial"/>
          <w:color w:val="000000"/>
          <w:sz w:val="24"/>
          <w:szCs w:val="24"/>
          <w:lang w:eastAsia="it-IT"/>
        </w:rPr>
        <w:t>Sainte</w:t>
      </w:r>
      <w:proofErr w:type="spellEnd"/>
      <w:r w:rsidRPr="00EA091A">
        <w:rPr>
          <w:rFonts w:ascii="Arial" w:eastAsia="Times New Roman" w:hAnsi="Arial" w:cs="Arial"/>
          <w:color w:val="000000"/>
          <w:sz w:val="24"/>
          <w:szCs w:val="24"/>
          <w:lang w:eastAsia="it-IT"/>
        </w:rPr>
        <w:t xml:space="preserve"> Croix (</w:t>
      </w:r>
      <w:r w:rsidRPr="00EA091A">
        <w:rPr>
          <w:rFonts w:ascii="Arial" w:eastAsia="Times New Roman" w:hAnsi="Arial" w:cs="Arial"/>
          <w:i/>
          <w:iCs/>
          <w:color w:val="000000"/>
          <w:sz w:val="24"/>
          <w:szCs w:val="24"/>
          <w:lang w:eastAsia="it-IT"/>
        </w:rPr>
        <w:t xml:space="preserve">The </w:t>
      </w:r>
      <w:proofErr w:type="spellStart"/>
      <w:r w:rsidRPr="00EA091A">
        <w:rPr>
          <w:rFonts w:ascii="Arial" w:eastAsia="Times New Roman" w:hAnsi="Arial" w:cs="Arial"/>
          <w:i/>
          <w:iCs/>
          <w:color w:val="000000"/>
          <w:sz w:val="24"/>
          <w:szCs w:val="24"/>
          <w:lang w:eastAsia="it-IT"/>
        </w:rPr>
        <w:t>Origins</w:t>
      </w:r>
      <w:proofErr w:type="spellEnd"/>
      <w:r w:rsidRPr="00EA091A">
        <w:rPr>
          <w:rFonts w:ascii="Arial" w:eastAsia="Times New Roman" w:hAnsi="Arial" w:cs="Arial"/>
          <w:i/>
          <w:iCs/>
          <w:color w:val="000000"/>
          <w:sz w:val="24"/>
          <w:szCs w:val="24"/>
          <w:lang w:eastAsia="it-IT"/>
        </w:rPr>
        <w:t xml:space="preserve"> of the </w:t>
      </w:r>
      <w:proofErr w:type="spellStart"/>
      <w:r w:rsidRPr="00EA091A">
        <w:rPr>
          <w:rFonts w:ascii="Arial" w:eastAsia="Times New Roman" w:hAnsi="Arial" w:cs="Arial"/>
          <w:i/>
          <w:iCs/>
          <w:color w:val="000000"/>
          <w:sz w:val="24"/>
          <w:szCs w:val="24"/>
          <w:lang w:eastAsia="it-IT"/>
        </w:rPr>
        <w:t>Peloponnesian</w:t>
      </w:r>
      <w:proofErr w:type="spellEnd"/>
      <w:r w:rsidRPr="00EA091A">
        <w:rPr>
          <w:rFonts w:ascii="Arial" w:eastAsia="Times New Roman" w:hAnsi="Arial" w:cs="Arial"/>
          <w:i/>
          <w:iCs/>
          <w:color w:val="000000"/>
          <w:sz w:val="24"/>
          <w:szCs w:val="24"/>
          <w:lang w:eastAsia="it-IT"/>
        </w:rPr>
        <w:t xml:space="preserve"> War</w:t>
      </w:r>
      <w:r w:rsidRPr="00EA091A">
        <w:rPr>
          <w:rFonts w:ascii="Arial" w:eastAsia="Times New Roman" w:hAnsi="Arial" w:cs="Arial"/>
          <w:color w:val="000000"/>
          <w:sz w:val="24"/>
          <w:szCs w:val="24"/>
          <w:lang w:eastAsia="it-IT"/>
        </w:rPr>
        <w:t>, 1973, </w:t>
      </w:r>
      <w:proofErr w:type="spellStart"/>
      <w:r w:rsidRPr="00EA091A">
        <w:rPr>
          <w:rFonts w:ascii="Arial" w:eastAsia="Times New Roman" w:hAnsi="Arial" w:cs="Arial"/>
          <w:i/>
          <w:iCs/>
          <w:color w:val="000000"/>
          <w:sz w:val="24"/>
          <w:szCs w:val="24"/>
          <w:lang w:eastAsia="it-IT"/>
        </w:rPr>
        <w:t>Appendix</w:t>
      </w:r>
      <w:proofErr w:type="spellEnd"/>
      <w:r w:rsidRPr="00EA091A">
        <w:rPr>
          <w:rFonts w:ascii="Arial" w:eastAsia="Times New Roman" w:hAnsi="Arial" w:cs="Arial"/>
          <w:i/>
          <w:iCs/>
          <w:color w:val="000000"/>
          <w:sz w:val="24"/>
          <w:szCs w:val="24"/>
          <w:lang w:eastAsia="it-IT"/>
        </w:rPr>
        <w:t> </w:t>
      </w:r>
      <w:r w:rsidRPr="00EA091A">
        <w:rPr>
          <w:rFonts w:ascii="Arial" w:eastAsia="Times New Roman" w:hAnsi="Arial" w:cs="Arial"/>
          <w:color w:val="000000"/>
          <w:sz w:val="24"/>
          <w:szCs w:val="24"/>
          <w:lang w:eastAsia="it-IT"/>
        </w:rPr>
        <w:t>29) sulla «politica» di Aristofane, giustamente definita, dallo storico marxista inglese, come di ispirazione «</w:t>
      </w:r>
      <w:proofErr w:type="spellStart"/>
      <w:r w:rsidRPr="00EA091A">
        <w:rPr>
          <w:rFonts w:ascii="Arial" w:eastAsia="Times New Roman" w:hAnsi="Arial" w:cs="Arial"/>
          <w:color w:val="000000"/>
          <w:sz w:val="24"/>
          <w:szCs w:val="24"/>
          <w:lang w:eastAsia="it-IT"/>
        </w:rPr>
        <w:t>cimoniana</w:t>
      </w:r>
      <w:proofErr w:type="spellEnd"/>
      <w:r w:rsidRPr="00EA091A">
        <w:rPr>
          <w:rFonts w:ascii="Arial" w:eastAsia="Times New Roman" w:hAnsi="Arial" w:cs="Arial"/>
          <w:color w:val="000000"/>
          <w:sz w:val="24"/>
          <w:szCs w:val="24"/>
          <w:lang w:eastAsia="it-IT"/>
        </w:rPr>
        <w:t>».</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Piuttosto che seguire partitamente la costante divaricazione dell’apprezzamento dei moderni di fronte al fenomeno della democrazia greca, segnaleremo alcuni momenti significativi connotandoli attraverso studi emblematici degli opposti orientamenti: il primo conflitto mondiale, la prima repubblica tedesca, l’età dei fascismi, la seconda metà del Novecento.</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i/>
          <w:iCs/>
          <w:color w:val="000000"/>
          <w:sz w:val="24"/>
          <w:szCs w:val="24"/>
          <w:lang w:eastAsia="it-IT"/>
        </w:rPr>
        <w:t>a</w:t>
      </w:r>
      <w:r w:rsidRPr="00EA091A">
        <w:rPr>
          <w:rFonts w:ascii="Arial" w:eastAsia="Times New Roman" w:hAnsi="Arial" w:cs="Arial"/>
          <w:color w:val="000000"/>
          <w:sz w:val="24"/>
          <w:szCs w:val="24"/>
          <w:lang w:eastAsia="it-IT"/>
        </w:rPr>
        <w:t>) A partire dal 1914, nel corso della cosiddetta «guerra degli spiriti» innescata dal conflitto mondiale tra studiosi tedeschi e l’intellettualità dell’Intesa, è in gioco l’immagine dell’Atene di Demostene. Due libri vanno soprattutto ricordati: </w:t>
      </w:r>
      <w:proofErr w:type="spellStart"/>
      <w:r w:rsidRPr="00EA091A">
        <w:rPr>
          <w:rFonts w:ascii="Arial" w:eastAsia="Times New Roman" w:hAnsi="Arial" w:cs="Arial"/>
          <w:i/>
          <w:iCs/>
          <w:color w:val="000000"/>
          <w:sz w:val="24"/>
          <w:szCs w:val="24"/>
          <w:lang w:eastAsia="it-IT"/>
        </w:rPr>
        <w:t>Aus</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einer</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alten</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Advocatenrepublik</w:t>
      </w:r>
      <w:proofErr w:type="spellEnd"/>
      <w:r w:rsidRPr="00EA091A">
        <w:rPr>
          <w:rFonts w:ascii="Arial" w:eastAsia="Times New Roman" w:hAnsi="Arial" w:cs="Arial"/>
          <w:color w:val="000000"/>
          <w:sz w:val="24"/>
          <w:szCs w:val="24"/>
          <w:lang w:eastAsia="it-IT"/>
        </w:rPr>
        <w:t xml:space="preserve"> di E. </w:t>
      </w:r>
      <w:proofErr w:type="spellStart"/>
      <w:r w:rsidRPr="00EA091A">
        <w:rPr>
          <w:rFonts w:ascii="Arial" w:eastAsia="Times New Roman" w:hAnsi="Arial" w:cs="Arial"/>
          <w:color w:val="000000"/>
          <w:sz w:val="24"/>
          <w:szCs w:val="24"/>
          <w:lang w:eastAsia="it-IT"/>
        </w:rPr>
        <w:t>Drerup</w:t>
      </w:r>
      <w:proofErr w:type="spellEnd"/>
      <w:r w:rsidRPr="00EA091A">
        <w:rPr>
          <w:rFonts w:ascii="Arial" w:eastAsia="Times New Roman" w:hAnsi="Arial" w:cs="Arial"/>
          <w:color w:val="000000"/>
          <w:sz w:val="24"/>
          <w:szCs w:val="24"/>
          <w:lang w:eastAsia="it-IT"/>
        </w:rPr>
        <w:t xml:space="preserve"> (1916) – dove l’«antica repubblica degli avvocati» è l’Atene di Demostene, identificata attraverso quella formula con la nemica Francia «democratica» – e, di poco successivo alla fine del conflitto, il </w:t>
      </w:r>
      <w:proofErr w:type="spellStart"/>
      <w:r w:rsidRPr="00EA091A">
        <w:rPr>
          <w:rFonts w:ascii="Arial" w:eastAsia="Times New Roman" w:hAnsi="Arial" w:cs="Arial"/>
          <w:i/>
          <w:iCs/>
          <w:color w:val="000000"/>
          <w:sz w:val="24"/>
          <w:szCs w:val="24"/>
          <w:lang w:eastAsia="it-IT"/>
        </w:rPr>
        <w:t>Démosthène</w:t>
      </w:r>
      <w:proofErr w:type="spellEnd"/>
      <w:r w:rsidRPr="00EA091A">
        <w:rPr>
          <w:rFonts w:ascii="Arial" w:eastAsia="Times New Roman" w:hAnsi="Arial" w:cs="Arial"/>
          <w:i/>
          <w:iCs/>
          <w:color w:val="000000"/>
          <w:sz w:val="24"/>
          <w:szCs w:val="24"/>
          <w:lang w:eastAsia="it-IT"/>
        </w:rPr>
        <w:t> </w:t>
      </w:r>
      <w:r w:rsidRPr="00EA091A">
        <w:rPr>
          <w:rFonts w:ascii="Arial" w:eastAsia="Times New Roman" w:hAnsi="Arial" w:cs="Arial"/>
          <w:color w:val="000000"/>
          <w:sz w:val="24"/>
          <w:szCs w:val="24"/>
          <w:lang w:eastAsia="it-IT"/>
        </w:rPr>
        <w:t xml:space="preserve">di G. </w:t>
      </w:r>
      <w:proofErr w:type="spellStart"/>
      <w:r w:rsidRPr="00EA091A">
        <w:rPr>
          <w:rFonts w:ascii="Arial" w:eastAsia="Times New Roman" w:hAnsi="Arial" w:cs="Arial"/>
          <w:color w:val="000000"/>
          <w:sz w:val="24"/>
          <w:szCs w:val="24"/>
          <w:lang w:eastAsia="it-IT"/>
        </w:rPr>
        <w:t>Clemenceau</w:t>
      </w:r>
      <w:proofErr w:type="spellEnd"/>
      <w:r w:rsidRPr="00EA091A">
        <w:rPr>
          <w:rFonts w:ascii="Arial" w:eastAsia="Times New Roman" w:hAnsi="Arial" w:cs="Arial"/>
          <w:color w:val="000000"/>
          <w:sz w:val="24"/>
          <w:szCs w:val="24"/>
          <w:lang w:eastAsia="it-IT"/>
        </w:rPr>
        <w:t xml:space="preserve">, il vincitore, per parte francese, contro la Macedonia-Prussia </w:t>
      </w:r>
      <w:proofErr w:type="spellStart"/>
      <w:r w:rsidRPr="00EA091A">
        <w:rPr>
          <w:rFonts w:ascii="Arial" w:eastAsia="Times New Roman" w:hAnsi="Arial" w:cs="Arial"/>
          <w:color w:val="000000"/>
          <w:sz w:val="24"/>
          <w:szCs w:val="24"/>
          <w:lang w:eastAsia="it-IT"/>
        </w:rPr>
        <w:t>del</w:t>
      </w:r>
      <w:r w:rsidRPr="00EA091A">
        <w:rPr>
          <w:rFonts w:ascii="Arial" w:eastAsia="Times New Roman" w:hAnsi="Arial" w:cs="Arial"/>
          <w:i/>
          <w:iCs/>
          <w:color w:val="000000"/>
          <w:sz w:val="24"/>
          <w:szCs w:val="24"/>
          <w:lang w:eastAsia="it-IT"/>
        </w:rPr>
        <w:t>kaiser</w:t>
      </w:r>
      <w:proofErr w:type="spellEnd"/>
      <w:r w:rsidRPr="00EA091A">
        <w:rPr>
          <w:rFonts w:ascii="Arial" w:eastAsia="Times New Roman" w:hAnsi="Arial" w:cs="Arial"/>
          <w:color w:val="000000"/>
          <w:sz w:val="24"/>
          <w:szCs w:val="24"/>
          <w:lang w:eastAsia="it-IT"/>
        </w:rPr>
        <w:t xml:space="preserve"> Guglielmo II. L’identificazione di </w:t>
      </w:r>
      <w:proofErr w:type="spellStart"/>
      <w:r w:rsidRPr="00EA091A">
        <w:rPr>
          <w:rFonts w:ascii="Arial" w:eastAsia="Times New Roman" w:hAnsi="Arial" w:cs="Arial"/>
          <w:color w:val="000000"/>
          <w:sz w:val="24"/>
          <w:szCs w:val="24"/>
          <w:lang w:eastAsia="it-IT"/>
        </w:rPr>
        <w:t>Clemenceau</w:t>
      </w:r>
      <w:proofErr w:type="spellEnd"/>
      <w:r w:rsidRPr="00EA091A">
        <w:rPr>
          <w:rFonts w:ascii="Arial" w:eastAsia="Times New Roman" w:hAnsi="Arial" w:cs="Arial"/>
          <w:color w:val="000000"/>
          <w:sz w:val="24"/>
          <w:szCs w:val="24"/>
          <w:lang w:eastAsia="it-IT"/>
        </w:rPr>
        <w:t xml:space="preserve"> col suo eroe positivo è totale e riguarda anche il destino personale sia dell’antico sia del moderno campione della democrazia.</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i/>
          <w:iCs/>
          <w:color w:val="000000"/>
          <w:sz w:val="24"/>
          <w:szCs w:val="24"/>
          <w:lang w:eastAsia="it-IT"/>
        </w:rPr>
        <w:t>b</w:t>
      </w:r>
      <w:r w:rsidRPr="00EA091A">
        <w:rPr>
          <w:rFonts w:ascii="Arial" w:eastAsia="Times New Roman" w:hAnsi="Arial" w:cs="Arial"/>
          <w:color w:val="000000"/>
          <w:sz w:val="24"/>
          <w:szCs w:val="24"/>
          <w:lang w:eastAsia="it-IT"/>
        </w:rPr>
        <w:t>) Per gli anni della Repubblica di Weimar, ricorderemo due opere «minori», ma molto esplicite: da un lato </w:t>
      </w:r>
      <w:proofErr w:type="spellStart"/>
      <w:r w:rsidRPr="00EA091A">
        <w:rPr>
          <w:rFonts w:ascii="Arial" w:eastAsia="Times New Roman" w:hAnsi="Arial" w:cs="Arial"/>
          <w:i/>
          <w:iCs/>
          <w:color w:val="000000"/>
          <w:sz w:val="24"/>
          <w:szCs w:val="24"/>
          <w:lang w:eastAsia="it-IT"/>
        </w:rPr>
        <w:t>Demokratie</w:t>
      </w:r>
      <w:proofErr w:type="spellEnd"/>
      <w:r w:rsidRPr="00EA091A">
        <w:rPr>
          <w:rFonts w:ascii="Arial" w:eastAsia="Times New Roman" w:hAnsi="Arial" w:cs="Arial"/>
          <w:i/>
          <w:iCs/>
          <w:color w:val="000000"/>
          <w:sz w:val="24"/>
          <w:szCs w:val="24"/>
          <w:lang w:eastAsia="it-IT"/>
        </w:rPr>
        <w:t xml:space="preserve"> und </w:t>
      </w:r>
      <w:proofErr w:type="spellStart"/>
      <w:r w:rsidRPr="00EA091A">
        <w:rPr>
          <w:rFonts w:ascii="Arial" w:eastAsia="Times New Roman" w:hAnsi="Arial" w:cs="Arial"/>
          <w:i/>
          <w:iCs/>
          <w:color w:val="000000"/>
          <w:sz w:val="24"/>
          <w:szCs w:val="24"/>
          <w:lang w:eastAsia="it-IT"/>
        </w:rPr>
        <w:t>Klassenkampf</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im</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Altertum</w:t>
      </w:r>
      <w:proofErr w:type="spellEnd"/>
      <w:r w:rsidRPr="00EA091A">
        <w:rPr>
          <w:rFonts w:ascii="Arial" w:eastAsia="Times New Roman" w:hAnsi="Arial" w:cs="Arial"/>
          <w:color w:val="000000"/>
          <w:sz w:val="24"/>
          <w:szCs w:val="24"/>
          <w:lang w:eastAsia="it-IT"/>
        </w:rPr>
        <w:t> di A. Rosenberg (1921), e sul versante opposto </w:t>
      </w:r>
      <w:r w:rsidRPr="00EA091A">
        <w:rPr>
          <w:rFonts w:ascii="Arial" w:eastAsia="Times New Roman" w:hAnsi="Arial" w:cs="Arial"/>
          <w:i/>
          <w:iCs/>
          <w:color w:val="000000"/>
          <w:sz w:val="24"/>
          <w:szCs w:val="24"/>
          <w:lang w:eastAsia="it-IT"/>
        </w:rPr>
        <w:t xml:space="preserve">Die </w:t>
      </w:r>
      <w:proofErr w:type="spellStart"/>
      <w:r w:rsidRPr="00EA091A">
        <w:rPr>
          <w:rFonts w:ascii="Arial" w:eastAsia="Times New Roman" w:hAnsi="Arial" w:cs="Arial"/>
          <w:i/>
          <w:iCs/>
          <w:color w:val="000000"/>
          <w:sz w:val="24"/>
          <w:szCs w:val="24"/>
          <w:lang w:eastAsia="it-IT"/>
        </w:rPr>
        <w:t>verwirklichte</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Demokratie</w:t>
      </w:r>
      <w:proofErr w:type="spellEnd"/>
      <w:r w:rsidRPr="00EA091A">
        <w:rPr>
          <w:rFonts w:ascii="Arial" w:eastAsia="Times New Roman" w:hAnsi="Arial" w:cs="Arial"/>
          <w:color w:val="000000"/>
          <w:sz w:val="24"/>
          <w:szCs w:val="24"/>
          <w:lang w:eastAsia="it-IT"/>
        </w:rPr>
        <w:t xml:space="preserve"> di H. </w:t>
      </w:r>
      <w:proofErr w:type="spellStart"/>
      <w:r w:rsidRPr="00EA091A">
        <w:rPr>
          <w:rFonts w:ascii="Arial" w:eastAsia="Times New Roman" w:hAnsi="Arial" w:cs="Arial"/>
          <w:color w:val="000000"/>
          <w:sz w:val="24"/>
          <w:szCs w:val="24"/>
          <w:lang w:eastAsia="it-IT"/>
        </w:rPr>
        <w:t>Bogner</w:t>
      </w:r>
      <w:proofErr w:type="spellEnd"/>
      <w:r w:rsidRPr="00EA091A">
        <w:rPr>
          <w:rFonts w:ascii="Arial" w:eastAsia="Times New Roman" w:hAnsi="Arial" w:cs="Arial"/>
          <w:color w:val="000000"/>
          <w:sz w:val="24"/>
          <w:szCs w:val="24"/>
          <w:lang w:eastAsia="it-IT"/>
        </w:rPr>
        <w:t xml:space="preserve"> (1930). Rosenberg è uno dei maggiori storici tedeschi di epoca </w:t>
      </w:r>
      <w:proofErr w:type="spellStart"/>
      <w:r w:rsidRPr="00EA091A">
        <w:rPr>
          <w:rFonts w:ascii="Arial" w:eastAsia="Times New Roman" w:hAnsi="Arial" w:cs="Arial"/>
          <w:color w:val="000000"/>
          <w:sz w:val="24"/>
          <w:szCs w:val="24"/>
          <w:lang w:eastAsia="it-IT"/>
        </w:rPr>
        <w:t>weimariana</w:t>
      </w:r>
      <w:proofErr w:type="spellEnd"/>
      <w:r w:rsidRPr="00EA091A">
        <w:rPr>
          <w:rFonts w:ascii="Arial" w:eastAsia="Times New Roman" w:hAnsi="Arial" w:cs="Arial"/>
          <w:color w:val="000000"/>
          <w:sz w:val="24"/>
          <w:szCs w:val="24"/>
          <w:lang w:eastAsia="it-IT"/>
        </w:rPr>
        <w:t xml:space="preserve">, allievo di </w:t>
      </w:r>
      <w:proofErr w:type="spellStart"/>
      <w:r w:rsidRPr="00EA091A">
        <w:rPr>
          <w:rFonts w:ascii="Arial" w:eastAsia="Times New Roman" w:hAnsi="Arial" w:cs="Arial"/>
          <w:color w:val="000000"/>
          <w:sz w:val="24"/>
          <w:szCs w:val="24"/>
          <w:lang w:eastAsia="it-IT"/>
        </w:rPr>
        <w:t>Meyer</w:t>
      </w:r>
      <w:proofErr w:type="spellEnd"/>
      <w:r w:rsidRPr="00EA091A">
        <w:rPr>
          <w:rFonts w:ascii="Arial" w:eastAsia="Times New Roman" w:hAnsi="Arial" w:cs="Arial"/>
          <w:color w:val="000000"/>
          <w:sz w:val="24"/>
          <w:szCs w:val="24"/>
          <w:lang w:eastAsia="it-IT"/>
        </w:rPr>
        <w:t xml:space="preserve"> e docente di storia antica a Berlino, parlamentare per la KPD, esule nel 1933, rifugiato in USA, dove scomparve prematuramente nel 1939, pienamente acquisito alle ragioni del </w:t>
      </w:r>
      <w:r w:rsidRPr="00EA091A">
        <w:rPr>
          <w:rFonts w:ascii="Arial" w:eastAsia="Times New Roman" w:hAnsi="Arial" w:cs="Arial"/>
          <w:i/>
          <w:iCs/>
          <w:color w:val="000000"/>
          <w:sz w:val="24"/>
          <w:szCs w:val="24"/>
          <w:lang w:eastAsia="it-IT"/>
        </w:rPr>
        <w:t>new deal</w:t>
      </w:r>
      <w:r w:rsidRPr="00EA091A">
        <w:rPr>
          <w:rFonts w:ascii="Arial" w:eastAsia="Times New Roman" w:hAnsi="Arial" w:cs="Arial"/>
          <w:color w:val="000000"/>
          <w:sz w:val="24"/>
          <w:szCs w:val="24"/>
          <w:lang w:eastAsia="it-IT"/>
        </w:rPr>
        <w:t xml:space="preserve"> rooseveltiano. </w:t>
      </w:r>
      <w:proofErr w:type="spellStart"/>
      <w:r w:rsidRPr="00EA091A">
        <w:rPr>
          <w:rFonts w:ascii="Arial" w:eastAsia="Times New Roman" w:hAnsi="Arial" w:cs="Arial"/>
          <w:color w:val="000000"/>
          <w:sz w:val="24"/>
          <w:szCs w:val="24"/>
          <w:lang w:eastAsia="it-IT"/>
        </w:rPr>
        <w:t>Bogner</w:t>
      </w:r>
      <w:proofErr w:type="spellEnd"/>
      <w:r w:rsidRPr="00EA091A">
        <w:rPr>
          <w:rFonts w:ascii="Arial" w:eastAsia="Times New Roman" w:hAnsi="Arial" w:cs="Arial"/>
          <w:color w:val="000000"/>
          <w:sz w:val="24"/>
          <w:szCs w:val="24"/>
          <w:lang w:eastAsia="it-IT"/>
        </w:rPr>
        <w:t xml:space="preserve"> (n. nel 1895) è un colto pubblicista di destra attivo al principio del regime nazionalsocialista, traduttore di autori classici. Per Rosenberg l’esperimento democratico ateniese costituisce un modello positivo in quanto coniuga la prevalenza dei ceti non possidenti con la pratica democratica: non una dittatura volta a confiscare la ricchezza dei possidenti, ma un sistema in cui la prevalenza politica dei non possidenti impone, o meglio rende ineludibile, l’uso sociale della ricchezza. Per </w:t>
      </w:r>
      <w:proofErr w:type="spellStart"/>
      <w:r w:rsidRPr="00EA091A">
        <w:rPr>
          <w:rFonts w:ascii="Arial" w:eastAsia="Times New Roman" w:hAnsi="Arial" w:cs="Arial"/>
          <w:color w:val="000000"/>
          <w:sz w:val="24"/>
          <w:szCs w:val="24"/>
          <w:lang w:eastAsia="it-IT"/>
        </w:rPr>
        <w:t>Bogner</w:t>
      </w:r>
      <w:proofErr w:type="spellEnd"/>
      <w:r w:rsidRPr="00EA091A">
        <w:rPr>
          <w:rFonts w:ascii="Arial" w:eastAsia="Times New Roman" w:hAnsi="Arial" w:cs="Arial"/>
          <w:color w:val="000000"/>
          <w:sz w:val="24"/>
          <w:szCs w:val="24"/>
          <w:lang w:eastAsia="it-IT"/>
        </w:rPr>
        <w:t xml:space="preserve"> il sistema ateniese, la «democrazia realizzata», come egli lo chiama, altro non è che l’antecedente della moderna «dittatura del proletariato»: al fine di render chiaro quanto sia deprecabile tale sistema, </w:t>
      </w:r>
      <w:proofErr w:type="spellStart"/>
      <w:r w:rsidRPr="00EA091A">
        <w:rPr>
          <w:rFonts w:ascii="Arial" w:eastAsia="Times New Roman" w:hAnsi="Arial" w:cs="Arial"/>
          <w:color w:val="000000"/>
          <w:sz w:val="24"/>
          <w:szCs w:val="24"/>
          <w:lang w:eastAsia="it-IT"/>
        </w:rPr>
        <w:t>Bogner</w:t>
      </w:r>
      <w:proofErr w:type="spellEnd"/>
      <w:r w:rsidRPr="00EA091A">
        <w:rPr>
          <w:rFonts w:ascii="Arial" w:eastAsia="Times New Roman" w:hAnsi="Arial" w:cs="Arial"/>
          <w:color w:val="000000"/>
          <w:sz w:val="24"/>
          <w:szCs w:val="24"/>
          <w:lang w:eastAsia="it-IT"/>
        </w:rPr>
        <w:t xml:space="preserve"> traduce l’intero opuscolo </w:t>
      </w:r>
      <w:proofErr w:type="spellStart"/>
      <w:r w:rsidRPr="00EA091A">
        <w:rPr>
          <w:rFonts w:ascii="Arial" w:eastAsia="Times New Roman" w:hAnsi="Arial" w:cs="Arial"/>
          <w:color w:val="000000"/>
          <w:sz w:val="24"/>
          <w:szCs w:val="24"/>
          <w:lang w:eastAsia="it-IT"/>
        </w:rPr>
        <w:t>intitolato</w:t>
      </w:r>
      <w:r w:rsidRPr="00EA091A">
        <w:rPr>
          <w:rFonts w:ascii="Arial" w:eastAsia="Times New Roman" w:hAnsi="Arial" w:cs="Arial"/>
          <w:i/>
          <w:iCs/>
          <w:color w:val="000000"/>
          <w:sz w:val="24"/>
          <w:szCs w:val="24"/>
          <w:lang w:eastAsia="it-IT"/>
        </w:rPr>
        <w:t>Athenaion</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Politeia</w:t>
      </w:r>
      <w:proofErr w:type="spellEnd"/>
      <w:r w:rsidRPr="00EA091A">
        <w:rPr>
          <w:rFonts w:ascii="Arial" w:eastAsia="Times New Roman" w:hAnsi="Arial" w:cs="Arial"/>
          <w:color w:val="000000"/>
          <w:sz w:val="24"/>
          <w:szCs w:val="24"/>
          <w:lang w:eastAsia="it-IT"/>
        </w:rPr>
        <w:t xml:space="preserve"> (che non è </w:t>
      </w:r>
      <w:r w:rsidRPr="00EA091A">
        <w:rPr>
          <w:rFonts w:ascii="Arial" w:eastAsia="Times New Roman" w:hAnsi="Arial" w:cs="Arial"/>
          <w:color w:val="000000"/>
          <w:sz w:val="24"/>
          <w:szCs w:val="24"/>
          <w:lang w:eastAsia="it-IT"/>
        </w:rPr>
        <w:lastRenderedPageBreak/>
        <w:t xml:space="preserve">imprudente attribuire a </w:t>
      </w:r>
      <w:proofErr w:type="spellStart"/>
      <w:r w:rsidRPr="00EA091A">
        <w:rPr>
          <w:rFonts w:ascii="Arial" w:eastAsia="Times New Roman" w:hAnsi="Arial" w:cs="Arial"/>
          <w:color w:val="000000"/>
          <w:sz w:val="24"/>
          <w:szCs w:val="24"/>
          <w:lang w:eastAsia="it-IT"/>
        </w:rPr>
        <w:t>Crizia</w:t>
      </w:r>
      <w:proofErr w:type="spellEnd"/>
      <w:r w:rsidRPr="00EA091A">
        <w:rPr>
          <w:rFonts w:ascii="Arial" w:eastAsia="Times New Roman" w:hAnsi="Arial" w:cs="Arial"/>
          <w:color w:val="000000"/>
          <w:sz w:val="24"/>
          <w:szCs w:val="24"/>
          <w:lang w:eastAsia="it-IT"/>
        </w:rPr>
        <w:t>) e lo definisce come la migliore descrizione di quel sistema: con la precisazione che è con l’uscita di scena di Pericle che il sistema è apparso in tutta la sua negatività.</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i/>
          <w:iCs/>
          <w:color w:val="000000"/>
          <w:sz w:val="24"/>
          <w:szCs w:val="24"/>
          <w:lang w:eastAsia="it-IT"/>
        </w:rPr>
        <w:t>c</w:t>
      </w:r>
      <w:r w:rsidRPr="00EA091A">
        <w:rPr>
          <w:rFonts w:ascii="Arial" w:eastAsia="Times New Roman" w:hAnsi="Arial" w:cs="Arial"/>
          <w:color w:val="000000"/>
          <w:sz w:val="24"/>
          <w:szCs w:val="24"/>
          <w:lang w:eastAsia="it-IT"/>
        </w:rPr>
        <w:t xml:space="preserve">) In epoca nazista si manifesta, per es. a opera di H. </w:t>
      </w:r>
      <w:proofErr w:type="spellStart"/>
      <w:r w:rsidRPr="00EA091A">
        <w:rPr>
          <w:rFonts w:ascii="Arial" w:eastAsia="Times New Roman" w:hAnsi="Arial" w:cs="Arial"/>
          <w:color w:val="000000"/>
          <w:sz w:val="24"/>
          <w:szCs w:val="24"/>
          <w:lang w:eastAsia="it-IT"/>
        </w:rPr>
        <w:t>Berve</w:t>
      </w:r>
      <w:proofErr w:type="spellEnd"/>
      <w:r w:rsidRPr="00EA091A">
        <w:rPr>
          <w:rFonts w:ascii="Arial" w:eastAsia="Times New Roman" w:hAnsi="Arial" w:cs="Arial"/>
          <w:color w:val="000000"/>
          <w:sz w:val="24"/>
          <w:szCs w:val="24"/>
          <w:lang w:eastAsia="it-IT"/>
        </w:rPr>
        <w:t>, uno dei maggiori esponenti della generazione che dominò nelle università durante il Terzo Reich, il tentativo di stabilire una continuità che, movendo dal Pericle tucidideo, approda al </w:t>
      </w:r>
      <w:r w:rsidRPr="00EA091A">
        <w:rPr>
          <w:rFonts w:ascii="Arial" w:eastAsia="Times New Roman" w:hAnsi="Arial" w:cs="Arial"/>
          <w:i/>
          <w:iCs/>
          <w:color w:val="000000"/>
          <w:sz w:val="24"/>
          <w:szCs w:val="24"/>
          <w:lang w:eastAsia="it-IT"/>
        </w:rPr>
        <w:t>Führer</w:t>
      </w:r>
      <w:r w:rsidRPr="00EA091A">
        <w:rPr>
          <w:rFonts w:ascii="Arial" w:eastAsia="Times New Roman" w:hAnsi="Arial" w:cs="Arial"/>
          <w:color w:val="000000"/>
          <w:sz w:val="24"/>
          <w:szCs w:val="24"/>
          <w:lang w:eastAsia="it-IT"/>
        </w:rPr>
        <w:t xml:space="preserve">. Su ciò ha scritto un importante libro B. </w:t>
      </w:r>
      <w:proofErr w:type="spellStart"/>
      <w:r w:rsidRPr="00EA091A">
        <w:rPr>
          <w:rFonts w:ascii="Arial" w:eastAsia="Times New Roman" w:hAnsi="Arial" w:cs="Arial"/>
          <w:color w:val="000000"/>
          <w:sz w:val="24"/>
          <w:szCs w:val="24"/>
          <w:lang w:eastAsia="it-IT"/>
        </w:rPr>
        <w:t>Näf</w:t>
      </w:r>
      <w:proofErr w:type="spellEnd"/>
      <w:r w:rsidRPr="00EA091A">
        <w:rPr>
          <w:rFonts w:ascii="Arial" w:eastAsia="Times New Roman" w:hAnsi="Arial" w:cs="Arial"/>
          <w:color w:val="000000"/>
          <w:sz w:val="24"/>
          <w:szCs w:val="24"/>
          <w:lang w:eastAsia="it-IT"/>
        </w:rPr>
        <w:t>, </w:t>
      </w:r>
      <w:r w:rsidRPr="00EA091A">
        <w:rPr>
          <w:rFonts w:ascii="Arial" w:eastAsia="Times New Roman" w:hAnsi="Arial" w:cs="Arial"/>
          <w:i/>
          <w:iCs/>
          <w:color w:val="000000"/>
          <w:sz w:val="24"/>
          <w:szCs w:val="24"/>
          <w:lang w:eastAsia="it-IT"/>
        </w:rPr>
        <w:t xml:space="preserve">Von </w:t>
      </w:r>
      <w:proofErr w:type="spellStart"/>
      <w:r w:rsidRPr="00EA091A">
        <w:rPr>
          <w:rFonts w:ascii="Arial" w:eastAsia="Times New Roman" w:hAnsi="Arial" w:cs="Arial"/>
          <w:i/>
          <w:iCs/>
          <w:color w:val="000000"/>
          <w:sz w:val="24"/>
          <w:szCs w:val="24"/>
          <w:lang w:eastAsia="it-IT"/>
        </w:rPr>
        <w:t>Perikles</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zu</w:t>
      </w:r>
      <w:proofErr w:type="spellEnd"/>
      <w:r w:rsidRPr="00EA091A">
        <w:rPr>
          <w:rFonts w:ascii="Arial" w:eastAsia="Times New Roman" w:hAnsi="Arial" w:cs="Arial"/>
          <w:i/>
          <w:iCs/>
          <w:color w:val="000000"/>
          <w:sz w:val="24"/>
          <w:szCs w:val="24"/>
          <w:lang w:eastAsia="it-IT"/>
        </w:rPr>
        <w:t xml:space="preserve"> Hitler?</w:t>
      </w:r>
      <w:r w:rsidRPr="00EA091A">
        <w:rPr>
          <w:rFonts w:ascii="Arial" w:eastAsia="Times New Roman" w:hAnsi="Arial" w:cs="Arial"/>
          <w:color w:val="000000"/>
          <w:sz w:val="24"/>
          <w:szCs w:val="24"/>
          <w:lang w:eastAsia="it-IT"/>
        </w:rPr>
        <w:t xml:space="preserve"> (1986), il quale traccia anche un essenziale profilo del precedente dibattito storiografico sulla democrazia ateniese. Accanto a questo inquietante filone si sviluppa poi, o meglio si riaccende, la discussione su Demostene. Malvisto già in epoca guglielmina da studiosi di prim’ordine quali </w:t>
      </w:r>
      <w:proofErr w:type="spellStart"/>
      <w:r w:rsidRPr="00EA091A">
        <w:rPr>
          <w:rFonts w:ascii="Arial" w:eastAsia="Times New Roman" w:hAnsi="Arial" w:cs="Arial"/>
          <w:color w:val="000000"/>
          <w:sz w:val="24"/>
          <w:szCs w:val="24"/>
          <w:lang w:eastAsia="it-IT"/>
        </w:rPr>
        <w:t>Beloch</w:t>
      </w:r>
      <w:proofErr w:type="spellEnd"/>
      <w:r w:rsidRPr="00EA091A">
        <w:rPr>
          <w:rFonts w:ascii="Arial" w:eastAsia="Times New Roman" w:hAnsi="Arial" w:cs="Arial"/>
          <w:color w:val="000000"/>
          <w:sz w:val="24"/>
          <w:szCs w:val="24"/>
          <w:lang w:eastAsia="it-IT"/>
        </w:rPr>
        <w:t xml:space="preserve"> e </w:t>
      </w:r>
      <w:proofErr w:type="spellStart"/>
      <w:r w:rsidRPr="00EA091A">
        <w:rPr>
          <w:rFonts w:ascii="Arial" w:eastAsia="Times New Roman" w:hAnsi="Arial" w:cs="Arial"/>
          <w:color w:val="000000"/>
          <w:sz w:val="24"/>
          <w:szCs w:val="24"/>
          <w:lang w:eastAsia="it-IT"/>
        </w:rPr>
        <w:t>Wilamowitz</w:t>
      </w:r>
      <w:proofErr w:type="spellEnd"/>
      <w:r w:rsidRPr="00EA091A">
        <w:rPr>
          <w:rFonts w:ascii="Arial" w:eastAsia="Times New Roman" w:hAnsi="Arial" w:cs="Arial"/>
          <w:color w:val="000000"/>
          <w:sz w:val="24"/>
          <w:szCs w:val="24"/>
          <w:lang w:eastAsia="it-IT"/>
        </w:rPr>
        <w:t xml:space="preserve">, Demostene torna in discussione per merito del libro di W. </w:t>
      </w:r>
      <w:proofErr w:type="spellStart"/>
      <w:r w:rsidRPr="00EA091A">
        <w:rPr>
          <w:rFonts w:ascii="Arial" w:eastAsia="Times New Roman" w:hAnsi="Arial" w:cs="Arial"/>
          <w:color w:val="000000"/>
          <w:sz w:val="24"/>
          <w:szCs w:val="24"/>
          <w:lang w:eastAsia="it-IT"/>
        </w:rPr>
        <w:t>Jaeger</w:t>
      </w:r>
      <w:proofErr w:type="spellEnd"/>
      <w:r w:rsidRPr="00EA091A">
        <w:rPr>
          <w:rFonts w:ascii="Arial" w:eastAsia="Times New Roman" w:hAnsi="Arial" w:cs="Arial"/>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Demosthenes</w:t>
      </w:r>
      <w:proofErr w:type="spellEnd"/>
      <w:r w:rsidRPr="00EA091A">
        <w:rPr>
          <w:rFonts w:ascii="Arial" w:eastAsia="Times New Roman" w:hAnsi="Arial" w:cs="Arial"/>
          <w:i/>
          <w:iCs/>
          <w:color w:val="000000"/>
          <w:sz w:val="24"/>
          <w:szCs w:val="24"/>
          <w:lang w:eastAsia="it-IT"/>
        </w:rPr>
        <w:t xml:space="preserve">. The </w:t>
      </w:r>
      <w:proofErr w:type="spellStart"/>
      <w:r w:rsidRPr="00EA091A">
        <w:rPr>
          <w:rFonts w:ascii="Arial" w:eastAsia="Times New Roman" w:hAnsi="Arial" w:cs="Arial"/>
          <w:i/>
          <w:iCs/>
          <w:color w:val="000000"/>
          <w:sz w:val="24"/>
          <w:szCs w:val="24"/>
          <w:lang w:eastAsia="it-IT"/>
        </w:rPr>
        <w:t>origin</w:t>
      </w:r>
      <w:proofErr w:type="spellEnd"/>
      <w:r w:rsidRPr="00EA091A">
        <w:rPr>
          <w:rFonts w:ascii="Arial" w:eastAsia="Times New Roman" w:hAnsi="Arial" w:cs="Arial"/>
          <w:i/>
          <w:iCs/>
          <w:color w:val="000000"/>
          <w:sz w:val="24"/>
          <w:szCs w:val="24"/>
          <w:lang w:eastAsia="it-IT"/>
        </w:rPr>
        <w:t xml:space="preserve"> and </w:t>
      </w:r>
      <w:proofErr w:type="spellStart"/>
      <w:r w:rsidRPr="00EA091A">
        <w:rPr>
          <w:rFonts w:ascii="Arial" w:eastAsia="Times New Roman" w:hAnsi="Arial" w:cs="Arial"/>
          <w:i/>
          <w:iCs/>
          <w:color w:val="000000"/>
          <w:sz w:val="24"/>
          <w:szCs w:val="24"/>
          <w:lang w:eastAsia="it-IT"/>
        </w:rPr>
        <w:t>growth</w:t>
      </w:r>
      <w:proofErr w:type="spellEnd"/>
      <w:r w:rsidRPr="00EA091A">
        <w:rPr>
          <w:rFonts w:ascii="Arial" w:eastAsia="Times New Roman" w:hAnsi="Arial" w:cs="Arial"/>
          <w:i/>
          <w:iCs/>
          <w:color w:val="000000"/>
          <w:sz w:val="24"/>
          <w:szCs w:val="24"/>
          <w:lang w:eastAsia="it-IT"/>
        </w:rPr>
        <w:t xml:space="preserve"> of </w:t>
      </w:r>
      <w:proofErr w:type="spellStart"/>
      <w:r w:rsidRPr="00EA091A">
        <w:rPr>
          <w:rFonts w:ascii="Arial" w:eastAsia="Times New Roman" w:hAnsi="Arial" w:cs="Arial"/>
          <w:i/>
          <w:iCs/>
          <w:color w:val="000000"/>
          <w:sz w:val="24"/>
          <w:szCs w:val="24"/>
          <w:lang w:eastAsia="it-IT"/>
        </w:rPr>
        <w:t>his</w:t>
      </w:r>
      <w:proofErr w:type="spellEnd"/>
      <w:r w:rsidRPr="00EA091A">
        <w:rPr>
          <w:rFonts w:ascii="Arial" w:eastAsia="Times New Roman" w:hAnsi="Arial" w:cs="Arial"/>
          <w:i/>
          <w:iCs/>
          <w:color w:val="000000"/>
          <w:sz w:val="24"/>
          <w:szCs w:val="24"/>
          <w:lang w:eastAsia="it-IT"/>
        </w:rPr>
        <w:t xml:space="preserve"> policy</w:t>
      </w:r>
      <w:r w:rsidRPr="00EA091A">
        <w:rPr>
          <w:rFonts w:ascii="Arial" w:eastAsia="Times New Roman" w:hAnsi="Arial" w:cs="Arial"/>
          <w:color w:val="000000"/>
          <w:sz w:val="24"/>
          <w:szCs w:val="24"/>
          <w:lang w:eastAsia="it-IT"/>
        </w:rPr>
        <w:t xml:space="preserve">) che esce prima in USA (1938) e subito dopo in Germania (1939). La discussione fu sin dall’inizio virulenta. Il </w:t>
      </w:r>
      <w:proofErr w:type="spellStart"/>
      <w:r w:rsidRPr="00EA091A">
        <w:rPr>
          <w:rFonts w:ascii="Arial" w:eastAsia="Times New Roman" w:hAnsi="Arial" w:cs="Arial"/>
          <w:color w:val="000000"/>
          <w:sz w:val="24"/>
          <w:szCs w:val="24"/>
          <w:lang w:eastAsia="it-IT"/>
        </w:rPr>
        <w:t>filodemostenismo</w:t>
      </w:r>
      <w:proofErr w:type="spellEnd"/>
      <w:r w:rsidRPr="00EA091A">
        <w:rPr>
          <w:rFonts w:ascii="Arial" w:eastAsia="Times New Roman" w:hAnsi="Arial" w:cs="Arial"/>
          <w:color w:val="000000"/>
          <w:sz w:val="24"/>
          <w:szCs w:val="24"/>
          <w:lang w:eastAsia="it-IT"/>
        </w:rPr>
        <w:t xml:space="preserve"> di </w:t>
      </w:r>
      <w:proofErr w:type="spellStart"/>
      <w:r w:rsidRPr="00EA091A">
        <w:rPr>
          <w:rFonts w:ascii="Arial" w:eastAsia="Times New Roman" w:hAnsi="Arial" w:cs="Arial"/>
          <w:color w:val="000000"/>
          <w:sz w:val="24"/>
          <w:szCs w:val="24"/>
          <w:lang w:eastAsia="it-IT"/>
        </w:rPr>
        <w:t>Jaeger</w:t>
      </w:r>
      <w:proofErr w:type="spellEnd"/>
      <w:r w:rsidRPr="00EA091A">
        <w:rPr>
          <w:rFonts w:ascii="Arial" w:eastAsia="Times New Roman" w:hAnsi="Arial" w:cs="Arial"/>
          <w:color w:val="000000"/>
          <w:sz w:val="24"/>
          <w:szCs w:val="24"/>
          <w:lang w:eastAsia="it-IT"/>
        </w:rPr>
        <w:t xml:space="preserve"> venne stigmatizzato con forza da importanti storici schierati col nazismo: H. </w:t>
      </w:r>
      <w:proofErr w:type="spellStart"/>
      <w:r w:rsidRPr="00EA091A">
        <w:rPr>
          <w:rFonts w:ascii="Arial" w:eastAsia="Times New Roman" w:hAnsi="Arial" w:cs="Arial"/>
          <w:color w:val="000000"/>
          <w:sz w:val="24"/>
          <w:szCs w:val="24"/>
          <w:lang w:eastAsia="it-IT"/>
        </w:rPr>
        <w:t>Berve</w:t>
      </w:r>
      <w:proofErr w:type="spellEnd"/>
      <w:r w:rsidRPr="00EA091A">
        <w:rPr>
          <w:rFonts w:ascii="Arial" w:eastAsia="Times New Roman" w:hAnsi="Arial" w:cs="Arial"/>
          <w:color w:val="000000"/>
          <w:sz w:val="24"/>
          <w:szCs w:val="24"/>
          <w:lang w:eastAsia="it-IT"/>
        </w:rPr>
        <w:t xml:space="preserve"> («</w:t>
      </w:r>
      <w:proofErr w:type="spellStart"/>
      <w:r w:rsidRPr="00EA091A">
        <w:rPr>
          <w:rFonts w:ascii="Arial" w:eastAsia="Times New Roman" w:hAnsi="Arial" w:cs="Arial"/>
          <w:color w:val="000000"/>
          <w:sz w:val="24"/>
          <w:szCs w:val="24"/>
          <w:lang w:eastAsia="it-IT"/>
        </w:rPr>
        <w:t>Göttingische</w:t>
      </w:r>
      <w:proofErr w:type="spellEnd"/>
      <w:r w:rsidRPr="00EA091A">
        <w:rPr>
          <w:rFonts w:ascii="Arial" w:eastAsia="Times New Roman" w:hAnsi="Arial" w:cs="Arial"/>
          <w:color w:val="000000"/>
          <w:sz w:val="24"/>
          <w:szCs w:val="24"/>
          <w:lang w:eastAsia="it-IT"/>
        </w:rPr>
        <w:t xml:space="preserve"> </w:t>
      </w:r>
      <w:proofErr w:type="spellStart"/>
      <w:r w:rsidRPr="00EA091A">
        <w:rPr>
          <w:rFonts w:ascii="Arial" w:eastAsia="Times New Roman" w:hAnsi="Arial" w:cs="Arial"/>
          <w:color w:val="000000"/>
          <w:sz w:val="24"/>
          <w:szCs w:val="24"/>
          <w:lang w:eastAsia="it-IT"/>
        </w:rPr>
        <w:t>Gelehrte</w:t>
      </w:r>
      <w:proofErr w:type="spellEnd"/>
      <w:r w:rsidRPr="00EA091A">
        <w:rPr>
          <w:rFonts w:ascii="Arial" w:eastAsia="Times New Roman" w:hAnsi="Arial" w:cs="Arial"/>
          <w:color w:val="000000"/>
          <w:sz w:val="24"/>
          <w:szCs w:val="24"/>
          <w:lang w:eastAsia="it-IT"/>
        </w:rPr>
        <w:t xml:space="preserve"> </w:t>
      </w:r>
      <w:proofErr w:type="spellStart"/>
      <w:r w:rsidRPr="00EA091A">
        <w:rPr>
          <w:rFonts w:ascii="Arial" w:eastAsia="Times New Roman" w:hAnsi="Arial" w:cs="Arial"/>
          <w:color w:val="000000"/>
          <w:sz w:val="24"/>
          <w:szCs w:val="24"/>
          <w:lang w:eastAsia="it-IT"/>
        </w:rPr>
        <w:t>Anzeigen</w:t>
      </w:r>
      <w:proofErr w:type="spellEnd"/>
      <w:r w:rsidRPr="00EA091A">
        <w:rPr>
          <w:rFonts w:ascii="Arial" w:eastAsia="Times New Roman" w:hAnsi="Arial" w:cs="Arial"/>
          <w:color w:val="000000"/>
          <w:sz w:val="24"/>
          <w:szCs w:val="24"/>
          <w:lang w:eastAsia="it-IT"/>
        </w:rPr>
        <w:t xml:space="preserve">», 1940) e F. </w:t>
      </w:r>
      <w:proofErr w:type="spellStart"/>
      <w:r w:rsidRPr="00EA091A">
        <w:rPr>
          <w:rFonts w:ascii="Arial" w:eastAsia="Times New Roman" w:hAnsi="Arial" w:cs="Arial"/>
          <w:color w:val="000000"/>
          <w:sz w:val="24"/>
          <w:szCs w:val="24"/>
          <w:lang w:eastAsia="it-IT"/>
        </w:rPr>
        <w:t>Taeger</w:t>
      </w:r>
      <w:proofErr w:type="spellEnd"/>
      <w:r w:rsidRPr="00EA091A">
        <w:rPr>
          <w:rFonts w:ascii="Arial" w:eastAsia="Times New Roman" w:hAnsi="Arial" w:cs="Arial"/>
          <w:color w:val="000000"/>
          <w:sz w:val="24"/>
          <w:szCs w:val="24"/>
          <w:lang w:eastAsia="it-IT"/>
        </w:rPr>
        <w:t xml:space="preserve"> («</w:t>
      </w:r>
      <w:proofErr w:type="spellStart"/>
      <w:r w:rsidRPr="00EA091A">
        <w:rPr>
          <w:rFonts w:ascii="Arial" w:eastAsia="Times New Roman" w:hAnsi="Arial" w:cs="Arial"/>
          <w:color w:val="000000"/>
          <w:sz w:val="24"/>
          <w:szCs w:val="24"/>
          <w:lang w:eastAsia="it-IT"/>
        </w:rPr>
        <w:t>Gnomon</w:t>
      </w:r>
      <w:proofErr w:type="spellEnd"/>
      <w:r w:rsidRPr="00EA091A">
        <w:rPr>
          <w:rFonts w:ascii="Arial" w:eastAsia="Times New Roman" w:hAnsi="Arial" w:cs="Arial"/>
          <w:color w:val="000000"/>
          <w:sz w:val="24"/>
          <w:szCs w:val="24"/>
          <w:lang w:eastAsia="it-IT"/>
        </w:rPr>
        <w:t>» 1941). In Italia un pesante attacco venne da parte di G. Perrotta («Primato», novembre 1942), il quale approfittò della circostanza per sbeffeggiare anche il </w:t>
      </w:r>
      <w:r w:rsidRPr="00EA091A">
        <w:rPr>
          <w:rFonts w:ascii="Arial" w:eastAsia="Times New Roman" w:hAnsi="Arial" w:cs="Arial"/>
          <w:i/>
          <w:iCs/>
          <w:color w:val="000000"/>
          <w:sz w:val="24"/>
          <w:szCs w:val="24"/>
          <w:lang w:eastAsia="it-IT"/>
        </w:rPr>
        <w:t>Demostene e la libertà greca </w:t>
      </w:r>
      <w:r w:rsidRPr="00EA091A">
        <w:rPr>
          <w:rFonts w:ascii="Arial" w:eastAsia="Times New Roman" w:hAnsi="Arial" w:cs="Arial"/>
          <w:color w:val="000000"/>
          <w:sz w:val="24"/>
          <w:szCs w:val="24"/>
          <w:lang w:eastAsia="it-IT"/>
        </w:rPr>
        <w:t xml:space="preserve">di P. Treves, nel frattempo scacciato dall’Italia perché ebreo. </w:t>
      </w:r>
      <w:proofErr w:type="spellStart"/>
      <w:r w:rsidRPr="00EA091A">
        <w:rPr>
          <w:rFonts w:ascii="Arial" w:eastAsia="Times New Roman" w:hAnsi="Arial" w:cs="Arial"/>
          <w:color w:val="000000"/>
          <w:sz w:val="24"/>
          <w:szCs w:val="24"/>
          <w:lang w:eastAsia="it-IT"/>
        </w:rPr>
        <w:t>Jaeger</w:t>
      </w:r>
      <w:proofErr w:type="spellEnd"/>
      <w:r w:rsidRPr="00EA091A">
        <w:rPr>
          <w:rFonts w:ascii="Arial" w:eastAsia="Times New Roman" w:hAnsi="Arial" w:cs="Arial"/>
          <w:color w:val="000000"/>
          <w:sz w:val="24"/>
          <w:szCs w:val="24"/>
          <w:lang w:eastAsia="it-IT"/>
        </w:rPr>
        <w:t xml:space="preserve"> fu invece difeso, negli USA, dall’esule K. von Fritz («American </w:t>
      </w:r>
      <w:proofErr w:type="spellStart"/>
      <w:r w:rsidRPr="00EA091A">
        <w:rPr>
          <w:rFonts w:ascii="Arial" w:eastAsia="Times New Roman" w:hAnsi="Arial" w:cs="Arial"/>
          <w:color w:val="000000"/>
          <w:sz w:val="24"/>
          <w:szCs w:val="24"/>
          <w:lang w:eastAsia="it-IT"/>
        </w:rPr>
        <w:t>Historical</w:t>
      </w:r>
      <w:proofErr w:type="spellEnd"/>
      <w:r w:rsidRPr="00EA091A">
        <w:rPr>
          <w:rFonts w:ascii="Arial" w:eastAsia="Times New Roman" w:hAnsi="Arial" w:cs="Arial"/>
          <w:color w:val="000000"/>
          <w:sz w:val="24"/>
          <w:szCs w:val="24"/>
          <w:lang w:eastAsia="it-IT"/>
        </w:rPr>
        <w:t xml:space="preserve"> </w:t>
      </w:r>
      <w:proofErr w:type="spellStart"/>
      <w:r w:rsidRPr="00EA091A">
        <w:rPr>
          <w:rFonts w:ascii="Arial" w:eastAsia="Times New Roman" w:hAnsi="Arial" w:cs="Arial"/>
          <w:color w:val="000000"/>
          <w:sz w:val="24"/>
          <w:szCs w:val="24"/>
          <w:lang w:eastAsia="it-IT"/>
        </w:rPr>
        <w:t>Review</w:t>
      </w:r>
      <w:proofErr w:type="spellEnd"/>
      <w:r w:rsidRPr="00EA091A">
        <w:rPr>
          <w:rFonts w:ascii="Arial" w:eastAsia="Times New Roman" w:hAnsi="Arial" w:cs="Arial"/>
          <w:color w:val="000000"/>
          <w:sz w:val="24"/>
          <w:szCs w:val="24"/>
          <w:lang w:eastAsia="it-IT"/>
        </w:rPr>
        <w:t>», 1939).</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i/>
          <w:iCs/>
          <w:color w:val="000000"/>
          <w:sz w:val="24"/>
          <w:szCs w:val="24"/>
          <w:lang w:eastAsia="it-IT"/>
        </w:rPr>
        <w:t>d</w:t>
      </w:r>
      <w:r w:rsidRPr="00EA091A">
        <w:rPr>
          <w:rFonts w:ascii="Arial" w:eastAsia="Times New Roman" w:hAnsi="Arial" w:cs="Arial"/>
          <w:color w:val="000000"/>
          <w:sz w:val="24"/>
          <w:szCs w:val="24"/>
          <w:lang w:eastAsia="it-IT"/>
        </w:rPr>
        <w:t>) Negli anni Sessanta del sec. 20° ha incominciato a farsi strada anche negli studi sul mondo greco un’importante novità. Ci riferiamo a quell’orientamento di studi detto «prosopografico» che da ben prima aveva influenzato gli studi di storia romana. Tale orientamento pone in rilievo i legami personali, familiari e di </w:t>
      </w:r>
      <w:r w:rsidRPr="00EA091A">
        <w:rPr>
          <w:rFonts w:ascii="Arial" w:eastAsia="Times New Roman" w:hAnsi="Arial" w:cs="Arial"/>
          <w:i/>
          <w:iCs/>
          <w:color w:val="000000"/>
          <w:sz w:val="24"/>
          <w:szCs w:val="24"/>
          <w:lang w:eastAsia="it-IT"/>
        </w:rPr>
        <w:t>clan</w:t>
      </w:r>
      <w:r w:rsidRPr="00EA091A">
        <w:rPr>
          <w:rFonts w:ascii="Arial" w:eastAsia="Times New Roman" w:hAnsi="Arial" w:cs="Arial"/>
          <w:color w:val="000000"/>
          <w:sz w:val="24"/>
          <w:szCs w:val="24"/>
          <w:lang w:eastAsia="it-IT"/>
        </w:rPr>
        <w:t xml:space="preserve"> vigenti anche in un mondo politicamente evoluto come quello ateniese del 5° e 4° sec. a.C. Un frutto importante è il saggio di J.K. </w:t>
      </w:r>
      <w:proofErr w:type="spellStart"/>
      <w:r w:rsidRPr="00EA091A">
        <w:rPr>
          <w:rFonts w:ascii="Arial" w:eastAsia="Times New Roman" w:hAnsi="Arial" w:cs="Arial"/>
          <w:color w:val="000000"/>
          <w:sz w:val="24"/>
          <w:szCs w:val="24"/>
          <w:lang w:eastAsia="it-IT"/>
        </w:rPr>
        <w:t>Davies,</w:t>
      </w:r>
      <w:r w:rsidRPr="00EA091A">
        <w:rPr>
          <w:rFonts w:ascii="Arial" w:eastAsia="Times New Roman" w:hAnsi="Arial" w:cs="Arial"/>
          <w:i/>
          <w:iCs/>
          <w:color w:val="000000"/>
          <w:sz w:val="24"/>
          <w:szCs w:val="24"/>
          <w:lang w:eastAsia="it-IT"/>
        </w:rPr>
        <w:t>Athenian</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propertied</w:t>
      </w:r>
      <w:proofErr w:type="spellEnd"/>
      <w:r w:rsidRPr="00EA091A">
        <w:rPr>
          <w:rFonts w:ascii="Arial" w:eastAsia="Times New Roman" w:hAnsi="Arial" w:cs="Arial"/>
          <w:i/>
          <w:iCs/>
          <w:color w:val="000000"/>
          <w:sz w:val="24"/>
          <w:szCs w:val="24"/>
          <w:lang w:eastAsia="it-IT"/>
        </w:rPr>
        <w:t xml:space="preserve"> families, 600-300 B.C.</w:t>
      </w:r>
      <w:r w:rsidRPr="00EA091A">
        <w:rPr>
          <w:rFonts w:ascii="Arial" w:eastAsia="Times New Roman" w:hAnsi="Arial" w:cs="Arial"/>
          <w:color w:val="000000"/>
          <w:sz w:val="24"/>
          <w:szCs w:val="24"/>
          <w:lang w:eastAsia="it-IT"/>
        </w:rPr>
        <w:t> (1971). Ne esce fortemente ridimensionata la visione ottocentesca troppo modernizzante e incline a riconoscere nei gruppi politici dell’Atene di età classica vere e proprie formazioni partitiche. Questa sana reazione può ben inquadrarsi, oltre che nella corrente tipicamente anglosassone detta prosopografica, anche nel più generale scontro tra «primitivisti» e «modernisti» che ha investito soprattutto l’interpretazione della storia economica e sociale del mondo antico.</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lastRenderedPageBreak/>
        <w:t>Ciò non ha impedito che l’interpretazione tradizionale dei conflitti politici ateniesi riprendesse lena in vasti affreschi storico-politici. Così l’adesione emotiva alla democrazia attica si coglie in studi come </w:t>
      </w:r>
      <w:r w:rsidRPr="00EA091A">
        <w:rPr>
          <w:rFonts w:ascii="Arial" w:eastAsia="Times New Roman" w:hAnsi="Arial" w:cs="Arial"/>
          <w:i/>
          <w:iCs/>
          <w:color w:val="000000"/>
          <w:sz w:val="24"/>
          <w:szCs w:val="24"/>
          <w:lang w:eastAsia="it-IT"/>
        </w:rPr>
        <w:t xml:space="preserve">La </w:t>
      </w:r>
      <w:proofErr w:type="spellStart"/>
      <w:r w:rsidRPr="00EA091A">
        <w:rPr>
          <w:rFonts w:ascii="Arial" w:eastAsia="Times New Roman" w:hAnsi="Arial" w:cs="Arial"/>
          <w:i/>
          <w:iCs/>
          <w:color w:val="000000"/>
          <w:sz w:val="24"/>
          <w:szCs w:val="24"/>
          <w:lang w:eastAsia="it-IT"/>
        </w:rPr>
        <w:t>démocratie</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athénienne</w:t>
      </w:r>
      <w:proofErr w:type="spellEnd"/>
      <w:r w:rsidRPr="00EA091A">
        <w:rPr>
          <w:rFonts w:ascii="Arial" w:eastAsia="Times New Roman" w:hAnsi="Arial" w:cs="Arial"/>
          <w:color w:val="000000"/>
          <w:sz w:val="24"/>
          <w:szCs w:val="24"/>
          <w:lang w:eastAsia="it-IT"/>
        </w:rPr>
        <w:t xml:space="preserve"> di P. </w:t>
      </w:r>
      <w:proofErr w:type="spellStart"/>
      <w:r w:rsidRPr="00EA091A">
        <w:rPr>
          <w:rFonts w:ascii="Arial" w:eastAsia="Times New Roman" w:hAnsi="Arial" w:cs="Arial"/>
          <w:color w:val="000000"/>
          <w:sz w:val="24"/>
          <w:szCs w:val="24"/>
          <w:lang w:eastAsia="it-IT"/>
        </w:rPr>
        <w:t>Cloché</w:t>
      </w:r>
      <w:proofErr w:type="spellEnd"/>
      <w:r w:rsidRPr="00EA091A">
        <w:rPr>
          <w:rFonts w:ascii="Arial" w:eastAsia="Times New Roman" w:hAnsi="Arial" w:cs="Arial"/>
          <w:color w:val="000000"/>
          <w:sz w:val="24"/>
          <w:szCs w:val="24"/>
          <w:lang w:eastAsia="it-IT"/>
        </w:rPr>
        <w:t xml:space="preserve"> (1951), di cui si segnalano, per la nobile ingenuità e l’imbarazzante difesa della gestione ateniese dell’impero, le pagine conclusive. Analogo proposito affiora anche in un lavoro molto impegnato come la </w:t>
      </w:r>
      <w:r w:rsidRPr="00EA091A">
        <w:rPr>
          <w:rFonts w:ascii="Arial" w:eastAsia="Times New Roman" w:hAnsi="Arial" w:cs="Arial"/>
          <w:i/>
          <w:iCs/>
          <w:color w:val="000000"/>
          <w:sz w:val="24"/>
          <w:szCs w:val="24"/>
          <w:lang w:eastAsia="it-IT"/>
        </w:rPr>
        <w:t>Democrazia </w:t>
      </w:r>
      <w:r w:rsidRPr="00EA091A">
        <w:rPr>
          <w:rFonts w:ascii="Arial" w:eastAsia="Times New Roman" w:hAnsi="Arial" w:cs="Arial"/>
          <w:color w:val="000000"/>
          <w:sz w:val="24"/>
          <w:szCs w:val="24"/>
          <w:lang w:eastAsia="it-IT"/>
        </w:rPr>
        <w:t xml:space="preserve">(1995) di D. </w:t>
      </w:r>
      <w:proofErr w:type="spellStart"/>
      <w:r w:rsidRPr="00EA091A">
        <w:rPr>
          <w:rFonts w:ascii="Arial" w:eastAsia="Times New Roman" w:hAnsi="Arial" w:cs="Arial"/>
          <w:color w:val="000000"/>
          <w:sz w:val="24"/>
          <w:szCs w:val="24"/>
          <w:lang w:eastAsia="it-IT"/>
        </w:rPr>
        <w:t>Musti</w:t>
      </w:r>
      <w:proofErr w:type="spellEnd"/>
      <w:r w:rsidRPr="00EA091A">
        <w:rPr>
          <w:rFonts w:ascii="Arial" w:eastAsia="Times New Roman" w:hAnsi="Arial" w:cs="Arial"/>
          <w:color w:val="000000"/>
          <w:sz w:val="24"/>
          <w:szCs w:val="24"/>
          <w:lang w:eastAsia="it-IT"/>
        </w:rPr>
        <w:t xml:space="preserve">. Per una meditata messa a punto, che è anche una efficace ricostruzione critica e documentata delle vicende che portarono dalla «tirannide» alla riforma </w:t>
      </w:r>
      <w:proofErr w:type="spellStart"/>
      <w:r w:rsidRPr="00EA091A">
        <w:rPr>
          <w:rFonts w:ascii="Arial" w:eastAsia="Times New Roman" w:hAnsi="Arial" w:cs="Arial"/>
          <w:color w:val="000000"/>
          <w:sz w:val="24"/>
          <w:szCs w:val="24"/>
          <w:lang w:eastAsia="it-IT"/>
        </w:rPr>
        <w:t>clistenica</w:t>
      </w:r>
      <w:proofErr w:type="spellEnd"/>
      <w:r w:rsidRPr="00EA091A">
        <w:rPr>
          <w:rFonts w:ascii="Arial" w:eastAsia="Times New Roman" w:hAnsi="Arial" w:cs="Arial"/>
          <w:color w:val="000000"/>
          <w:sz w:val="24"/>
          <w:szCs w:val="24"/>
          <w:lang w:eastAsia="it-IT"/>
        </w:rPr>
        <w:t xml:space="preserve">, si può ricorrere al saggio di G. </w:t>
      </w:r>
      <w:proofErr w:type="spellStart"/>
      <w:r w:rsidRPr="00EA091A">
        <w:rPr>
          <w:rFonts w:ascii="Arial" w:eastAsia="Times New Roman" w:hAnsi="Arial" w:cs="Arial"/>
          <w:color w:val="000000"/>
          <w:sz w:val="24"/>
          <w:szCs w:val="24"/>
          <w:lang w:eastAsia="it-IT"/>
        </w:rPr>
        <w:t>Camassa</w:t>
      </w:r>
      <w:proofErr w:type="spellEnd"/>
      <w:r w:rsidRPr="00EA091A">
        <w:rPr>
          <w:rFonts w:ascii="Arial" w:eastAsia="Times New Roman" w:hAnsi="Arial" w:cs="Arial"/>
          <w:color w:val="000000"/>
          <w:sz w:val="24"/>
          <w:szCs w:val="24"/>
          <w:lang w:eastAsia="it-IT"/>
        </w:rPr>
        <w:t xml:space="preserve"> (</w:t>
      </w:r>
      <w:r w:rsidRPr="00EA091A">
        <w:rPr>
          <w:rFonts w:ascii="Arial" w:eastAsia="Times New Roman" w:hAnsi="Arial" w:cs="Arial"/>
          <w:i/>
          <w:iCs/>
          <w:color w:val="000000"/>
          <w:sz w:val="24"/>
          <w:szCs w:val="24"/>
          <w:lang w:eastAsia="it-IT"/>
        </w:rPr>
        <w:t>Atene. La costruzione della democrazia</w:t>
      </w:r>
      <w:r w:rsidRPr="00EA091A">
        <w:rPr>
          <w:rFonts w:ascii="Arial" w:eastAsia="Times New Roman" w:hAnsi="Arial" w:cs="Arial"/>
          <w:color w:val="000000"/>
          <w:sz w:val="24"/>
          <w:szCs w:val="24"/>
          <w:lang w:eastAsia="it-IT"/>
        </w:rPr>
        <w:t>, 2007). Né vanno trascurati i tentativi di lettura non demonizzante, ma politica, della vicenda dei trenta: </w:t>
      </w:r>
      <w:r w:rsidRPr="00EA091A">
        <w:rPr>
          <w:rFonts w:ascii="Arial" w:eastAsia="Times New Roman" w:hAnsi="Arial" w:cs="Arial"/>
          <w:i/>
          <w:iCs/>
          <w:color w:val="000000"/>
          <w:sz w:val="24"/>
          <w:szCs w:val="24"/>
          <w:lang w:eastAsia="it-IT"/>
        </w:rPr>
        <w:t xml:space="preserve">The </w:t>
      </w:r>
      <w:proofErr w:type="spellStart"/>
      <w:r w:rsidRPr="00EA091A">
        <w:rPr>
          <w:rFonts w:ascii="Arial" w:eastAsia="Times New Roman" w:hAnsi="Arial" w:cs="Arial"/>
          <w:i/>
          <w:iCs/>
          <w:color w:val="000000"/>
          <w:sz w:val="24"/>
          <w:szCs w:val="24"/>
          <w:lang w:eastAsia="it-IT"/>
        </w:rPr>
        <w:t>Thirty</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at</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Athens</w:t>
      </w:r>
      <w:proofErr w:type="spellEnd"/>
      <w:r w:rsidRPr="00EA091A">
        <w:rPr>
          <w:rFonts w:ascii="Arial" w:eastAsia="Times New Roman" w:hAnsi="Arial" w:cs="Arial"/>
          <w:i/>
          <w:iCs/>
          <w:color w:val="000000"/>
          <w:sz w:val="24"/>
          <w:szCs w:val="24"/>
          <w:lang w:eastAsia="it-IT"/>
        </w:rPr>
        <w:t> </w:t>
      </w:r>
      <w:r w:rsidRPr="00EA091A">
        <w:rPr>
          <w:rFonts w:ascii="Arial" w:eastAsia="Times New Roman" w:hAnsi="Arial" w:cs="Arial"/>
          <w:color w:val="000000"/>
          <w:sz w:val="24"/>
          <w:szCs w:val="24"/>
          <w:lang w:eastAsia="it-IT"/>
        </w:rPr>
        <w:t xml:space="preserve">di P. </w:t>
      </w:r>
      <w:proofErr w:type="spellStart"/>
      <w:r w:rsidRPr="00EA091A">
        <w:rPr>
          <w:rFonts w:ascii="Arial" w:eastAsia="Times New Roman" w:hAnsi="Arial" w:cs="Arial"/>
          <w:color w:val="000000"/>
          <w:sz w:val="24"/>
          <w:szCs w:val="24"/>
          <w:lang w:eastAsia="it-IT"/>
        </w:rPr>
        <w:t>Krentz</w:t>
      </w:r>
      <w:proofErr w:type="spellEnd"/>
      <w:r w:rsidRPr="00EA091A">
        <w:rPr>
          <w:rFonts w:ascii="Arial" w:eastAsia="Times New Roman" w:hAnsi="Arial" w:cs="Arial"/>
          <w:color w:val="000000"/>
          <w:sz w:val="24"/>
          <w:szCs w:val="24"/>
          <w:lang w:eastAsia="it-IT"/>
        </w:rPr>
        <w:t xml:space="preserve"> (1982). Questo libro ha il merito di porsi seriamente la questione di quale fosse il «programma» dei trenta, e approda sensatamente alla conclusione che il loro progetto era di rimodellare, con metodi violenti, Atene «on the </w:t>
      </w:r>
      <w:proofErr w:type="spellStart"/>
      <w:r w:rsidRPr="00EA091A">
        <w:rPr>
          <w:rFonts w:ascii="Arial" w:eastAsia="Times New Roman" w:hAnsi="Arial" w:cs="Arial"/>
          <w:color w:val="000000"/>
          <w:sz w:val="24"/>
          <w:szCs w:val="24"/>
          <w:lang w:eastAsia="it-IT"/>
        </w:rPr>
        <w:t>lines</w:t>
      </w:r>
      <w:proofErr w:type="spellEnd"/>
      <w:r w:rsidRPr="00EA091A">
        <w:rPr>
          <w:rFonts w:ascii="Arial" w:eastAsia="Times New Roman" w:hAnsi="Arial" w:cs="Arial"/>
          <w:color w:val="000000"/>
          <w:sz w:val="24"/>
          <w:szCs w:val="24"/>
          <w:lang w:eastAsia="it-IT"/>
        </w:rPr>
        <w:t xml:space="preserve"> of the </w:t>
      </w:r>
      <w:proofErr w:type="spellStart"/>
      <w:r w:rsidRPr="00EA091A">
        <w:rPr>
          <w:rFonts w:ascii="Arial" w:eastAsia="Times New Roman" w:hAnsi="Arial" w:cs="Arial"/>
          <w:color w:val="000000"/>
          <w:sz w:val="24"/>
          <w:szCs w:val="24"/>
          <w:lang w:eastAsia="it-IT"/>
        </w:rPr>
        <w:t>Spartan</w:t>
      </w:r>
      <w:proofErr w:type="spellEnd"/>
      <w:r w:rsidRPr="00EA091A">
        <w:rPr>
          <w:rFonts w:ascii="Arial" w:eastAsia="Times New Roman" w:hAnsi="Arial" w:cs="Arial"/>
          <w:color w:val="000000"/>
          <w:sz w:val="24"/>
          <w:szCs w:val="24"/>
          <w:lang w:eastAsia="it-IT"/>
        </w:rPr>
        <w:t xml:space="preserve"> </w:t>
      </w:r>
      <w:proofErr w:type="spellStart"/>
      <w:r w:rsidRPr="00EA091A">
        <w:rPr>
          <w:rFonts w:ascii="Arial" w:eastAsia="Times New Roman" w:hAnsi="Arial" w:cs="Arial"/>
          <w:color w:val="000000"/>
          <w:sz w:val="24"/>
          <w:szCs w:val="24"/>
          <w:lang w:eastAsia="it-IT"/>
        </w:rPr>
        <w:t>Constitution</w:t>
      </w:r>
      <w:proofErr w:type="spellEnd"/>
      <w:r w:rsidRPr="00EA091A">
        <w:rPr>
          <w:rFonts w:ascii="Arial" w:eastAsia="Times New Roman" w:hAnsi="Arial" w:cs="Arial"/>
          <w:color w:val="000000"/>
          <w:sz w:val="24"/>
          <w:szCs w:val="24"/>
          <w:lang w:eastAsia="it-IT"/>
        </w:rPr>
        <w:t>». Il che, se si considera quanto osservato in principio a proposito dell’immagine di Sparta come «vera democrazia», induce a non adagiarsi passivamente nella </w:t>
      </w:r>
      <w:r w:rsidRPr="00EA091A">
        <w:rPr>
          <w:rFonts w:ascii="Arial" w:eastAsia="Times New Roman" w:hAnsi="Arial" w:cs="Arial"/>
          <w:i/>
          <w:iCs/>
          <w:color w:val="000000"/>
          <w:sz w:val="24"/>
          <w:szCs w:val="24"/>
          <w:lang w:eastAsia="it-IT"/>
        </w:rPr>
        <w:t>damnatio memoriae</w:t>
      </w:r>
      <w:r w:rsidRPr="00EA091A">
        <w:rPr>
          <w:rFonts w:ascii="Arial" w:eastAsia="Times New Roman" w:hAnsi="Arial" w:cs="Arial"/>
          <w:color w:val="000000"/>
          <w:sz w:val="24"/>
          <w:szCs w:val="24"/>
          <w:lang w:eastAsia="it-IT"/>
        </w:rPr>
        <w:t> di cui, già subito dopo la loro sconfitta dovuta anche all’abbandono da parte di Sparta, i trenta furono oggetto. Naturalmente suggestioni della storia vivente possono indurre a fervide e suggestive analogie: per es. alla lettura della vicenda dei trenta proposta da J. Isaac (</w:t>
      </w:r>
      <w:proofErr w:type="spellStart"/>
      <w:r w:rsidRPr="00EA091A">
        <w:rPr>
          <w:rFonts w:ascii="Arial" w:eastAsia="Times New Roman" w:hAnsi="Arial" w:cs="Arial"/>
          <w:i/>
          <w:iCs/>
          <w:color w:val="000000"/>
          <w:sz w:val="24"/>
          <w:szCs w:val="24"/>
          <w:lang w:eastAsia="it-IT"/>
        </w:rPr>
        <w:t>Les</w:t>
      </w:r>
      <w:proofErr w:type="spellEnd"/>
      <w:r w:rsidRPr="00EA091A">
        <w:rPr>
          <w:rFonts w:ascii="Arial" w:eastAsia="Times New Roman" w:hAnsi="Arial" w:cs="Arial"/>
          <w:i/>
          <w:iCs/>
          <w:color w:val="000000"/>
          <w:sz w:val="24"/>
          <w:szCs w:val="24"/>
          <w:lang w:eastAsia="it-IT"/>
        </w:rPr>
        <w:t xml:space="preserve"> </w:t>
      </w:r>
      <w:proofErr w:type="spellStart"/>
      <w:r w:rsidRPr="00EA091A">
        <w:rPr>
          <w:rFonts w:ascii="Arial" w:eastAsia="Times New Roman" w:hAnsi="Arial" w:cs="Arial"/>
          <w:i/>
          <w:iCs/>
          <w:color w:val="000000"/>
          <w:sz w:val="24"/>
          <w:szCs w:val="24"/>
          <w:lang w:eastAsia="it-IT"/>
        </w:rPr>
        <w:t>Oligarques</w:t>
      </w:r>
      <w:proofErr w:type="spellEnd"/>
      <w:r w:rsidRPr="00EA091A">
        <w:rPr>
          <w:rFonts w:ascii="Arial" w:eastAsia="Times New Roman" w:hAnsi="Arial" w:cs="Arial"/>
          <w:color w:val="000000"/>
          <w:sz w:val="24"/>
          <w:szCs w:val="24"/>
          <w:lang w:eastAsia="it-IT"/>
        </w:rPr>
        <w:t xml:space="preserve"> [scritto nel 1942], ed. a cura di P. </w:t>
      </w:r>
      <w:proofErr w:type="spellStart"/>
      <w:r w:rsidRPr="00EA091A">
        <w:rPr>
          <w:rFonts w:ascii="Arial" w:eastAsia="Times New Roman" w:hAnsi="Arial" w:cs="Arial"/>
          <w:color w:val="000000"/>
          <w:sz w:val="24"/>
          <w:szCs w:val="24"/>
          <w:lang w:eastAsia="it-IT"/>
        </w:rPr>
        <w:t>Ory</w:t>
      </w:r>
      <w:proofErr w:type="spellEnd"/>
      <w:r w:rsidRPr="00EA091A">
        <w:rPr>
          <w:rFonts w:ascii="Arial" w:eastAsia="Times New Roman" w:hAnsi="Arial" w:cs="Arial"/>
          <w:color w:val="000000"/>
          <w:sz w:val="24"/>
          <w:szCs w:val="24"/>
          <w:lang w:eastAsia="it-IT"/>
        </w:rPr>
        <w:t>, 1989) in cui si legge, in filigrana, la nascita, sotto l’urto della vittoria tedesca, del regime di Vichy (1940-1945).</w:t>
      </w:r>
    </w:p>
    <w:p w:rsidR="00EA091A" w:rsidRPr="00EA091A" w:rsidRDefault="00EA091A" w:rsidP="00EA091A">
      <w:pPr>
        <w:spacing w:after="225" w:line="420" w:lineRule="atLeast"/>
        <w:rPr>
          <w:rFonts w:ascii="Arial" w:eastAsia="Times New Roman" w:hAnsi="Arial" w:cs="Arial"/>
          <w:color w:val="000000"/>
          <w:sz w:val="24"/>
          <w:szCs w:val="24"/>
          <w:lang w:eastAsia="it-IT"/>
        </w:rPr>
      </w:pPr>
      <w:r w:rsidRPr="00EA091A">
        <w:rPr>
          <w:rFonts w:ascii="Arial" w:eastAsia="Times New Roman" w:hAnsi="Arial" w:cs="Arial"/>
          <w:color w:val="000000"/>
          <w:sz w:val="24"/>
          <w:szCs w:val="24"/>
          <w:lang w:eastAsia="it-IT"/>
        </w:rPr>
        <w:t>In conclusione, sia lecito un bilancio: in quel laboratorio della politica che fu la città antica, da un lato si svolgevano conflitti attuali e si esprimevano interessi contingenti, dall’altro però si elaboravano concetti che hanno finito coll’avere valore ben oltre il tempo in cui nacquero: un valore che si è rinnovato e riproposto nel corso di millenni.</w:t>
      </w:r>
    </w:p>
    <w:p w:rsidR="00F711DA" w:rsidRDefault="00F711DA"/>
    <w:sectPr w:rsidR="00F711DA">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6B5" w:rsidRDefault="00A746B5" w:rsidP="00EA091A">
      <w:pPr>
        <w:spacing w:after="0" w:line="240" w:lineRule="auto"/>
      </w:pPr>
      <w:r>
        <w:separator/>
      </w:r>
    </w:p>
  </w:endnote>
  <w:endnote w:type="continuationSeparator" w:id="0">
    <w:p w:rsidR="00A746B5" w:rsidRDefault="00A746B5" w:rsidP="00EA0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874429"/>
      <w:docPartObj>
        <w:docPartGallery w:val="Page Numbers (Bottom of Page)"/>
        <w:docPartUnique/>
      </w:docPartObj>
    </w:sdtPr>
    <w:sdtContent>
      <w:p w:rsidR="00EA091A" w:rsidRDefault="00EA091A">
        <w:pPr>
          <w:pStyle w:val="Pidipagina"/>
        </w:pPr>
        <w:r>
          <w:rPr>
            <w:noProof/>
          </w:rPr>
          <mc:AlternateContent>
            <mc:Choice Requires="wpg">
              <w:drawing>
                <wp:anchor distT="0" distB="0" distL="114300" distR="114300" simplePos="0" relativeHeight="251659264" behindDoc="0" locked="0" layoutInCell="0" allowOverlap="1" wp14:editId="011117B0">
                  <wp:simplePos x="0" y="0"/>
                  <wp:positionH relativeFrom="margin">
                    <wp:align>right</wp:align>
                  </wp:positionH>
                  <wp:positionV relativeFrom="bottomMargin">
                    <wp:align>center</wp:align>
                  </wp:positionV>
                  <wp:extent cx="419100" cy="321945"/>
                  <wp:effectExtent l="0" t="19050" r="3175" b="11430"/>
                  <wp:wrapNone/>
                  <wp:docPr id="596" name="Grup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91A" w:rsidRDefault="00EA091A">
                                <w:pPr>
                                  <w:spacing w:after="0" w:line="240" w:lineRule="auto"/>
                                  <w:jc w:val="center"/>
                                  <w:rPr>
                                    <w:color w:val="17365D" w:themeColor="text2" w:themeShade="BF"/>
                                    <w:sz w:val="16"/>
                                    <w:szCs w:val="16"/>
                                  </w:rPr>
                                </w:pPr>
                                <w:r>
                                  <w:fldChar w:fldCharType="begin"/>
                                </w:r>
                                <w:r>
                                  <w:instrText>PAGE   \* MERGEFORMAT</w:instrText>
                                </w:r>
                                <w:r>
                                  <w:fldChar w:fldCharType="separate"/>
                                </w:r>
                                <w:r w:rsidRPr="00EA091A">
                                  <w:rPr>
                                    <w:noProof/>
                                    <w:color w:val="17365D" w:themeColor="text2" w:themeShade="BF"/>
                                    <w:sz w:val="16"/>
                                    <w:szCs w:val="16"/>
                                  </w:rPr>
                                  <w:t>1</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600" name="Group 91"/>
                          <wpg:cNvGrpSpPr>
                            <a:grpSpLocks/>
                          </wpg:cNvGrpSpPr>
                          <wpg:grpSpPr bwMode="auto">
                            <a:xfrm>
                              <a:off x="1775" y="14647"/>
                              <a:ext cx="571" cy="314"/>
                              <a:chOff x="1705" y="14935"/>
                              <a:chExt cx="682" cy="375"/>
                            </a:xfrm>
                          </wpg:grpSpPr>
                          <wps:wsp>
                            <wps:cNvPr id="601"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o 87" o:spid="_x0000_s1026"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d3osYA&#10;AADcAAAADwAAAGRycy9kb3ducmV2LnhtbESPQUvDQBSE74X+h+UVerObWls1dltEKBSrh6aC10f2&#10;mQSzb2P2NYn/3i0IPQ4z8w2z3g6uVh21ofJsYD5LQBHn3lZcGPg47W4eQAVBtlh7JgO/FGC7GY/W&#10;mFrf85G6TAoVIRxSNFCKNKnWIS/JYZj5hjh6X751KFG2hbYt9hHuan2bJCvtsOK4UGJDLyXl39nZ&#10;GXg7LHg5XzTday+ZfBaVvfs5vRsznQzPT6CEBrmG/9t7a2D5eA+XM/EI6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d3osYAAADcAAAADwAAAAAAAAAAAAAAAACYAgAAZHJz&#10;L2Rvd25yZXYueG1sUEsFBgAAAAAEAAQA9QAAAIsDA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XB8IA&#10;AADcAAAADwAAAGRycy9kb3ducmV2LnhtbERPz2vCMBS+C/4P4Qm7aepgQ6tRRBB2mc7qQW+P5tmU&#10;Ni+lyWz1r18OA48f3+/lure1uFPrS8cKppMEBHHudMmFgvNpN56B8AFZY+2YFDzIw3o1HCwx1a7j&#10;I92zUIgYwj5FBSaEJpXS54Ys+olriCN3c63FEGFbSN1iF8NtLd+T5FNaLDk2GGxoayivsl+r4Ody&#10;6LJr5TWW56o+PPfm+znrlXob9ZsFiEB9eIn/3V9awcc8ro1n4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8ZcHwgAAANwAAAAPAAAAAAAAAAAAAAAAAJgCAABkcnMvZG93&#10;bnJldi54bWxQSwUGAAAAAAQABAD1AAAAhwM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vIMUA&#10;AADcAAAADwAAAGRycy9kb3ducmV2LnhtbESPwWrDMBBE74X+g9hCLiWRE6ip3cghBEpzKtTNIcet&#10;tbGFrZWxFMf++6hQ6HGYmTfMdjfZTow0eONYwXqVgCCunDZcKzh9vy9fQfiArLFzTApm8rArHh+2&#10;mGt34y8ay1CLCGGfo4ImhD6X0lcNWfQr1xNH7+IGiyHKoZZ6wFuE205ukiSVFg3HhQZ7OjRUteXV&#10;KnjO2p9PvJw/xjAf1iY1ST/OJ6UWT9P+DUSgKfyH/9pHreAly+D3TDwCsr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q8gxQAAANwAAAAPAAAAAAAAAAAAAAAAAJgCAABkcnMv&#10;ZG93bnJldi54bWxQSwUGAAAAAAQABAD1AAAAigMAAAAA&#10;" filled="f" stroked="f">
                    <v:textbox inset="0,2.16pt,0,0">
                      <w:txbxContent>
                        <w:p w:rsidR="00EA091A" w:rsidRDefault="00EA091A">
                          <w:pPr>
                            <w:spacing w:after="0" w:line="240" w:lineRule="auto"/>
                            <w:jc w:val="center"/>
                            <w:rPr>
                              <w:color w:val="17365D" w:themeColor="text2" w:themeShade="BF"/>
                              <w:sz w:val="16"/>
                              <w:szCs w:val="16"/>
                            </w:rPr>
                          </w:pPr>
                          <w:r>
                            <w:fldChar w:fldCharType="begin"/>
                          </w:r>
                          <w:r>
                            <w:instrText>PAGE   \* MERGEFORMAT</w:instrText>
                          </w:r>
                          <w:r>
                            <w:fldChar w:fldCharType="separate"/>
                          </w:r>
                          <w:r w:rsidRPr="00EA091A">
                            <w:rPr>
                              <w:noProof/>
                              <w:color w:val="17365D" w:themeColor="text2" w:themeShade="BF"/>
                              <w:sz w:val="16"/>
                              <w:szCs w:val="16"/>
                            </w:rPr>
                            <w:t>1</w:t>
                          </w:r>
                          <w:r>
                            <w:rPr>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lXsYA&#10;AADcAAAADwAAAGRycy9kb3ducmV2LnhtbESPQWsCMRSE70L/Q3gFb5qoILoapVYshfbSrT309tg8&#10;s4ubl3WTrtt/3xQEj8PMfMOst72rRUdtqDxrmIwVCOLCm4qthuPnYbQAESKywdozafilANvNw2CN&#10;mfFX/qAuj1YkCIcMNZQxNpmUoSjJYRj7hjh5J986jEm2VpoWrwnuajlVai4dVpwWSmzouaTinP84&#10;DZcXq76OZvme72bnpT1879+63V7r4WP/tAIRqY/38K39ajTM1QT+z6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nlXsYAAADcAAAADwAAAAAAAAAAAAAAAACYAgAAZHJz&#10;L2Rvd25yZXYueG1sUEsFBgAAAAAEAAQA9QAAAIsDA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jMMA&#10;AADcAAAADwAAAGRycy9kb3ducmV2LnhtbESPQWvCQBSE74L/YXmF3sxGoSLRVUrU4tXUi7dH9jVZ&#10;mn0bdleT9td3BaHHYWa+YTa70XbiTj4YxwrmWQ6CuHbacKPg8nmcrUCEiKyxc0wKfijAbjudbLDQ&#10;buAz3avYiAThUKCCNsa+kDLULVkMmeuJk/flvMWYpG+k9jgkuO3kIs+X0qLhtNBiT2VL9Xd1swr6&#10;+WkcSn8t3z66fbM6/1aHgzFKvb6M72sQkcb4H362T1rBMl/A4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G/jMMAAADcAAAADwAAAAAAAAAAAAAAAACYAgAAZHJzL2Rv&#10;d25yZXYueG1sUEsFBgAAAAAEAAQA9QAAAIgDA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6B5" w:rsidRDefault="00A746B5" w:rsidP="00EA091A">
      <w:pPr>
        <w:spacing w:after="0" w:line="240" w:lineRule="auto"/>
      </w:pPr>
      <w:r>
        <w:separator/>
      </w:r>
    </w:p>
  </w:footnote>
  <w:footnote w:type="continuationSeparator" w:id="0">
    <w:p w:rsidR="00A746B5" w:rsidRDefault="00A746B5" w:rsidP="00EA0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1A" w:rsidRPr="00EA091A" w:rsidRDefault="00EA091A">
    <w:pPr>
      <w:pStyle w:val="Intestazione"/>
      <w:rPr>
        <w:sz w:val="16"/>
        <w:szCs w:val="16"/>
      </w:rPr>
    </w:pPr>
    <w:r w:rsidRPr="00EA091A">
      <w:rPr>
        <w:sz w:val="16"/>
        <w:szCs w:val="16"/>
      </w:rPr>
      <w:t>http://www.treccani.it/enciclopedia/la-democrazia-nella-grecia-antica_%28Dizionario-di-Storia%29/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91A"/>
    <w:rsid w:val="00007D47"/>
    <w:rsid w:val="00153E6A"/>
    <w:rsid w:val="00A371D6"/>
    <w:rsid w:val="00A746B5"/>
    <w:rsid w:val="00EA091A"/>
    <w:rsid w:val="00EC2FF0"/>
    <w:rsid w:val="00F05180"/>
    <w:rsid w:val="00F301FB"/>
    <w:rsid w:val="00F514E6"/>
    <w:rsid w:val="00F71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EA091A"/>
  </w:style>
  <w:style w:type="character" w:styleId="Enfasigrassetto">
    <w:name w:val="Strong"/>
    <w:basedOn w:val="Carpredefinitoparagrafo"/>
    <w:uiPriority w:val="22"/>
    <w:qFormat/>
    <w:rsid w:val="00EA091A"/>
    <w:rPr>
      <w:b/>
      <w:bCs/>
    </w:rPr>
  </w:style>
  <w:style w:type="paragraph" w:styleId="NormaleWeb">
    <w:name w:val="Normal (Web)"/>
    <w:basedOn w:val="Normale"/>
    <w:uiPriority w:val="99"/>
    <w:semiHidden/>
    <w:unhideWhenUsed/>
    <w:rsid w:val="00EA09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EA091A"/>
    <w:rPr>
      <w:i/>
      <w:iCs/>
    </w:rPr>
  </w:style>
  <w:style w:type="paragraph" w:styleId="Intestazione">
    <w:name w:val="header"/>
    <w:basedOn w:val="Normale"/>
    <w:link w:val="IntestazioneCarattere"/>
    <w:uiPriority w:val="99"/>
    <w:unhideWhenUsed/>
    <w:rsid w:val="00EA09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091A"/>
  </w:style>
  <w:style w:type="paragraph" w:styleId="Pidipagina">
    <w:name w:val="footer"/>
    <w:basedOn w:val="Normale"/>
    <w:link w:val="PidipaginaCarattere"/>
    <w:uiPriority w:val="99"/>
    <w:unhideWhenUsed/>
    <w:rsid w:val="00EA09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0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EA091A"/>
  </w:style>
  <w:style w:type="character" w:styleId="Enfasigrassetto">
    <w:name w:val="Strong"/>
    <w:basedOn w:val="Carpredefinitoparagrafo"/>
    <w:uiPriority w:val="22"/>
    <w:qFormat/>
    <w:rsid w:val="00EA091A"/>
    <w:rPr>
      <w:b/>
      <w:bCs/>
    </w:rPr>
  </w:style>
  <w:style w:type="paragraph" w:styleId="NormaleWeb">
    <w:name w:val="Normal (Web)"/>
    <w:basedOn w:val="Normale"/>
    <w:uiPriority w:val="99"/>
    <w:semiHidden/>
    <w:unhideWhenUsed/>
    <w:rsid w:val="00EA09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EA091A"/>
    <w:rPr>
      <w:i/>
      <w:iCs/>
    </w:rPr>
  </w:style>
  <w:style w:type="paragraph" w:styleId="Intestazione">
    <w:name w:val="header"/>
    <w:basedOn w:val="Normale"/>
    <w:link w:val="IntestazioneCarattere"/>
    <w:uiPriority w:val="99"/>
    <w:unhideWhenUsed/>
    <w:rsid w:val="00EA09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091A"/>
  </w:style>
  <w:style w:type="paragraph" w:styleId="Pidipagina">
    <w:name w:val="footer"/>
    <w:basedOn w:val="Normale"/>
    <w:link w:val="PidipaginaCarattere"/>
    <w:uiPriority w:val="99"/>
    <w:unhideWhenUsed/>
    <w:rsid w:val="00EA09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8113">
      <w:bodyDiv w:val="1"/>
      <w:marLeft w:val="0"/>
      <w:marRight w:val="0"/>
      <w:marTop w:val="0"/>
      <w:marBottom w:val="0"/>
      <w:divBdr>
        <w:top w:val="none" w:sz="0" w:space="0" w:color="auto"/>
        <w:left w:val="none" w:sz="0" w:space="0" w:color="auto"/>
        <w:bottom w:val="none" w:sz="0" w:space="0" w:color="auto"/>
        <w:right w:val="none" w:sz="0" w:space="0" w:color="auto"/>
      </w:divBdr>
      <w:divsChild>
        <w:div w:id="1471626810">
          <w:marLeft w:val="0"/>
          <w:marRight w:val="0"/>
          <w:marTop w:val="0"/>
          <w:marBottom w:val="225"/>
          <w:divBdr>
            <w:top w:val="none" w:sz="0" w:space="0" w:color="auto"/>
            <w:left w:val="none" w:sz="0" w:space="0" w:color="auto"/>
            <w:bottom w:val="none" w:sz="0" w:space="0" w:color="auto"/>
            <w:right w:val="none" w:sz="0" w:space="0" w:color="auto"/>
          </w:divBdr>
        </w:div>
        <w:div w:id="1253589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2686</Words>
  <Characters>15315</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2016-08-14T10:17:00Z</dcterms:created>
  <dcterms:modified xsi:type="dcterms:W3CDTF">2016-08-15T15:18:00Z</dcterms:modified>
</cp:coreProperties>
</file>