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1D7C" w14:textId="440936AB" w:rsidR="00E277D7" w:rsidRPr="00E277D7" w:rsidRDefault="00E277D7" w:rsidP="00E277D7">
      <w:pPr>
        <w:pStyle w:val="NormaleWeb"/>
        <w:spacing w:before="0" w:beforeAutospacing="0"/>
        <w:rPr>
          <w:rStyle w:val="Enfasigrassetto"/>
        </w:rPr>
      </w:pPr>
      <w:r w:rsidRPr="00E277D7">
        <w:rPr>
          <w:rStyle w:val="Enfasigrassetto"/>
        </w:rPr>
        <w:t>LA STATISTICA DESCRITTIVA ED INFERENZIALE</w:t>
      </w:r>
    </w:p>
    <w:p w14:paraId="422E014A" w14:textId="2F045B0E" w:rsidR="00E277D7" w:rsidRDefault="00E277D7" w:rsidP="00E277D7">
      <w:pPr>
        <w:pStyle w:val="NormaleWeb"/>
        <w:spacing w:before="0" w:beforeAutospacing="0" w:after="0" w:afterAutospacing="0"/>
      </w:pPr>
      <w:r>
        <w:t>Caratteri statistici e distribuzioni di frequenza;</w:t>
      </w:r>
    </w:p>
    <w:p w14:paraId="79F44567" w14:textId="2433A2A2" w:rsidR="00E277D7" w:rsidRDefault="00E277D7" w:rsidP="00E277D7">
      <w:pPr>
        <w:pStyle w:val="NormaleWeb"/>
        <w:spacing w:before="0" w:beforeAutospacing="0" w:after="0" w:afterAutospacing="0"/>
      </w:pPr>
      <w:r>
        <w:t>Rappresentazioni grafiche;</w:t>
      </w:r>
    </w:p>
    <w:p w14:paraId="2B17723C" w14:textId="61BF1E89" w:rsidR="00E277D7" w:rsidRDefault="00E277D7" w:rsidP="00E277D7">
      <w:pPr>
        <w:pStyle w:val="NormaleWeb"/>
        <w:spacing w:before="0" w:beforeAutospacing="0" w:after="0" w:afterAutospacing="0"/>
      </w:pPr>
      <w:r>
        <w:t>Misure di tendenza centrale;</w:t>
      </w:r>
    </w:p>
    <w:p w14:paraId="3D863E57" w14:textId="254678B1" w:rsidR="00E277D7" w:rsidRDefault="00E277D7" w:rsidP="00E277D7">
      <w:pPr>
        <w:pStyle w:val="NormaleWeb"/>
        <w:spacing w:before="0" w:beforeAutospacing="0" w:after="0" w:afterAutospacing="0"/>
      </w:pPr>
      <w:r>
        <w:t>Misure di variabilità;</w:t>
      </w:r>
    </w:p>
    <w:p w14:paraId="62126193" w14:textId="1E8488B1" w:rsidR="00E277D7" w:rsidRDefault="00E277D7" w:rsidP="00E277D7">
      <w:pPr>
        <w:pStyle w:val="NormaleWeb"/>
        <w:spacing w:before="0" w:beforeAutospacing="0" w:after="0" w:afterAutospacing="0"/>
      </w:pPr>
      <w:r>
        <w:t>Indice di concentrazione;</w:t>
      </w:r>
    </w:p>
    <w:p w14:paraId="763639AA" w14:textId="11FDD978" w:rsidR="00E277D7" w:rsidRDefault="00E277D7" w:rsidP="00E277D7">
      <w:pPr>
        <w:pStyle w:val="NormaleWeb"/>
        <w:spacing w:before="0" w:beforeAutospacing="0" w:after="0" w:afterAutospacing="0"/>
      </w:pPr>
      <w:r>
        <w:t>Indice di correlazione e Chi quadro;</w:t>
      </w:r>
    </w:p>
    <w:p w14:paraId="194F12DD" w14:textId="53F906E2" w:rsidR="00E277D7" w:rsidRDefault="00E277D7" w:rsidP="00E277D7">
      <w:pPr>
        <w:pStyle w:val="NormaleWeb"/>
        <w:spacing w:before="0" w:beforeAutospacing="0" w:after="0" w:afterAutospacing="0"/>
      </w:pPr>
      <w:r>
        <w:t>I</w:t>
      </w:r>
      <w:r>
        <w:t xml:space="preserve"> numeri indice;</w:t>
      </w:r>
    </w:p>
    <w:p w14:paraId="0993758A" w14:textId="1241A5CA" w:rsidR="00E277D7" w:rsidRDefault="00E277D7" w:rsidP="00E277D7">
      <w:pPr>
        <w:pStyle w:val="NormaleWeb"/>
        <w:spacing w:before="0" w:beforeAutospacing="0" w:after="0" w:afterAutospacing="0"/>
      </w:pPr>
      <w:r>
        <w:t>I</w:t>
      </w:r>
      <w:r>
        <w:t>l campionamento e gli intervalli di confidenza.</w:t>
      </w:r>
    </w:p>
    <w:p w14:paraId="7910ED05" w14:textId="77777777" w:rsidR="00E277D7" w:rsidRDefault="00E277D7" w:rsidP="00E277D7"/>
    <w:p w14:paraId="1961DA5F" w14:textId="4119AF92" w:rsidR="00E277D7" w:rsidRPr="00E277D7" w:rsidRDefault="00E277D7" w:rsidP="00E277D7">
      <w:pPr>
        <w:pStyle w:val="NormaleWeb"/>
        <w:spacing w:before="0" w:beforeAutospacing="0"/>
        <w:rPr>
          <w:rStyle w:val="Enfasigrassetto"/>
        </w:rPr>
      </w:pPr>
      <w:r w:rsidRPr="00E277D7">
        <w:rPr>
          <w:rStyle w:val="Enfasigrassetto"/>
        </w:rPr>
        <w:t>LE FONTI STATISTICHE SULLE IMPRESE</w:t>
      </w:r>
    </w:p>
    <w:p w14:paraId="4591F4B4" w14:textId="4AE17611" w:rsidR="00E277D7" w:rsidRDefault="00E277D7" w:rsidP="00E277D7">
      <w:pPr>
        <w:pStyle w:val="NormaleWeb"/>
        <w:spacing w:before="0" w:beforeAutospacing="0" w:after="0" w:afterAutospacing="0"/>
      </w:pPr>
      <w:r>
        <w:t>Le indagini statistiche per le imprese;</w:t>
      </w:r>
    </w:p>
    <w:p w14:paraId="0B656E3E" w14:textId="0168E514" w:rsidR="00E277D7" w:rsidRDefault="00E277D7" w:rsidP="00E277D7">
      <w:pPr>
        <w:pStyle w:val="NormaleWeb"/>
        <w:spacing w:before="0" w:beforeAutospacing="0" w:after="0" w:afterAutospacing="0"/>
      </w:pPr>
      <w:r>
        <w:t>Asia, Frame, i Censimenti permanenti e la classificazione Ateco.</w:t>
      </w:r>
    </w:p>
    <w:p w14:paraId="4D42F3A0" w14:textId="77777777" w:rsidR="00E277D7" w:rsidRDefault="00E277D7" w:rsidP="00E277D7"/>
    <w:p w14:paraId="1C891652" w14:textId="41C295F9" w:rsidR="00E277D7" w:rsidRPr="00E277D7" w:rsidRDefault="00E277D7" w:rsidP="00E277D7">
      <w:pPr>
        <w:pStyle w:val="NormaleWeb"/>
        <w:spacing w:before="0" w:beforeAutospacing="0"/>
        <w:rPr>
          <w:rStyle w:val="Enfasigrassetto"/>
        </w:rPr>
      </w:pPr>
      <w:r w:rsidRPr="00E277D7">
        <w:rPr>
          <w:rStyle w:val="Enfasigrassetto"/>
        </w:rPr>
        <w:t>LA CONTABILITÀ NAZIONALE E GLI AGGREGATI ECONOMICI</w:t>
      </w:r>
    </w:p>
    <w:p w14:paraId="329E6E96" w14:textId="617E1329" w:rsidR="00E277D7" w:rsidRDefault="00E277D7" w:rsidP="00E277D7">
      <w:pPr>
        <w:pStyle w:val="NormaleWeb"/>
        <w:spacing w:before="0" w:beforeAutospacing="0" w:after="0" w:afterAutospacing="0"/>
      </w:pPr>
      <w:r>
        <w:t>I principali aggregati economici;</w:t>
      </w:r>
    </w:p>
    <w:p w14:paraId="03054DDB" w14:textId="0F7C7256" w:rsidR="00E277D7" w:rsidRDefault="00E277D7" w:rsidP="00E277D7">
      <w:pPr>
        <w:pStyle w:val="NormaleWeb"/>
        <w:spacing w:before="0" w:beforeAutospacing="0" w:after="0" w:afterAutospacing="0"/>
      </w:pPr>
      <w:r>
        <w:t>I Conti per settore Istituzionale;</w:t>
      </w:r>
    </w:p>
    <w:p w14:paraId="7D888A78" w14:textId="55557300" w:rsidR="00E277D7" w:rsidRDefault="00E277D7" w:rsidP="00E277D7">
      <w:pPr>
        <w:pStyle w:val="NormaleWeb"/>
        <w:spacing w:before="0" w:beforeAutospacing="0" w:after="0" w:afterAutospacing="0"/>
      </w:pPr>
      <w:r>
        <w:t>I conti satellite.</w:t>
      </w:r>
    </w:p>
    <w:p w14:paraId="7A351B79" w14:textId="77777777" w:rsidR="00E277D7" w:rsidRDefault="00E277D7" w:rsidP="00E277D7"/>
    <w:p w14:paraId="6F14EEC9" w14:textId="77777777" w:rsidR="00E277D7" w:rsidRDefault="00E277D7" w:rsidP="00E277D7">
      <w:pPr>
        <w:pStyle w:val="NormaleWeb"/>
        <w:spacing w:before="0" w:beforeAutospacing="0"/>
        <w:rPr>
          <w:rStyle w:val="Enfasigrassetto"/>
        </w:rPr>
      </w:pPr>
      <w:r w:rsidRPr="00E277D7">
        <w:rPr>
          <w:rStyle w:val="Enfasigrassetto"/>
        </w:rPr>
        <w:t>I NUMERI INDICE A BASE FISSA E MOBILE</w:t>
      </w:r>
    </w:p>
    <w:p w14:paraId="5B1FE514" w14:textId="77777777" w:rsidR="00E277D7" w:rsidRPr="00E277D7" w:rsidRDefault="00E277D7" w:rsidP="00E277D7">
      <w:pPr>
        <w:pStyle w:val="NormaleWeb"/>
        <w:spacing w:before="0" w:beforeAutospacing="0" w:after="0" w:afterAutospacing="0"/>
      </w:pPr>
      <w:r>
        <w:t>Gli indici dei Prezzi alla produzione ed al consumo;</w:t>
      </w:r>
    </w:p>
    <w:p w14:paraId="1CCB8A27" w14:textId="6098A5DC" w:rsidR="00E277D7" w:rsidRPr="00E277D7" w:rsidRDefault="00E277D7" w:rsidP="00E277D7">
      <w:pPr>
        <w:pStyle w:val="NormaleWeb"/>
        <w:spacing w:before="0" w:beforeAutospacing="0" w:after="0" w:afterAutospacing="0"/>
      </w:pPr>
      <w:r>
        <w:t>Gli indicatori congiunturali.</w:t>
      </w:r>
    </w:p>
    <w:p w14:paraId="477FAE9E" w14:textId="77777777" w:rsidR="00E277D7" w:rsidRDefault="00E277D7" w:rsidP="00E277D7"/>
    <w:p w14:paraId="0D34E75E" w14:textId="5ADCA3F3" w:rsidR="00E277D7" w:rsidRPr="00E277D7" w:rsidRDefault="00E277D7" w:rsidP="00E277D7">
      <w:pPr>
        <w:pStyle w:val="NormaleWeb"/>
        <w:spacing w:before="0" w:beforeAutospacing="0"/>
        <w:rPr>
          <w:rStyle w:val="Enfasigrassetto"/>
        </w:rPr>
      </w:pPr>
      <w:r w:rsidRPr="00E277D7">
        <w:rPr>
          <w:rStyle w:val="Enfasigrassetto"/>
        </w:rPr>
        <w:t>LE SERIE STORICHE</w:t>
      </w:r>
      <w:r>
        <w:rPr>
          <w:rStyle w:val="Enfasigrassetto"/>
        </w:rPr>
        <w:t xml:space="preserve"> E</w:t>
      </w:r>
      <w:r w:rsidRPr="00E277D7">
        <w:rPr>
          <w:rStyle w:val="Enfasigrassetto"/>
        </w:rPr>
        <w:t xml:space="preserve"> IL METODO CLASSICO</w:t>
      </w:r>
    </w:p>
    <w:sectPr w:rsidR="00E277D7" w:rsidRPr="00E27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FE"/>
    <w:rsid w:val="002F1C8A"/>
    <w:rsid w:val="003143FE"/>
    <w:rsid w:val="00704257"/>
    <w:rsid w:val="008C37B0"/>
    <w:rsid w:val="00B22D56"/>
    <w:rsid w:val="00E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8501"/>
  <w15:chartTrackingRefBased/>
  <w15:docId w15:val="{AFD7F358-9B3E-4DBC-AE58-95433A4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1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4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F1E5-60DE-498C-A071-E8B4968F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Antolini</dc:creator>
  <cp:keywords/>
  <dc:description/>
  <cp:lastModifiedBy>Reviewer</cp:lastModifiedBy>
  <cp:revision>2</cp:revision>
  <dcterms:created xsi:type="dcterms:W3CDTF">2023-10-02T09:28:00Z</dcterms:created>
  <dcterms:modified xsi:type="dcterms:W3CDTF">2023-10-02T09:28:00Z</dcterms:modified>
</cp:coreProperties>
</file>