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FD" w:rsidRPr="00A74EFD" w:rsidRDefault="00A74EFD" w:rsidP="00A74EFD">
      <w:pPr>
        <w:shd w:val="clear" w:color="auto" w:fill="FFFFFF"/>
        <w:spacing w:after="0" w:line="288" w:lineRule="atLeast"/>
        <w:jc w:val="both"/>
        <w:outlineLvl w:val="0"/>
        <w:rPr>
          <w:rFonts w:ascii="Open Sans" w:eastAsia="Times New Roman" w:hAnsi="Open Sans" w:cs="Open Sans"/>
          <w:b/>
          <w:bCs/>
          <w:color w:val="003399"/>
          <w:spacing w:val="-11"/>
          <w:kern w:val="36"/>
          <w:sz w:val="48"/>
          <w:szCs w:val="48"/>
          <w:lang w:eastAsia="it-IT"/>
        </w:rPr>
      </w:pPr>
      <w:r w:rsidRPr="00A74EFD">
        <w:rPr>
          <w:rFonts w:ascii="Open Sans" w:eastAsia="Times New Roman" w:hAnsi="Open Sans" w:cs="Open Sans"/>
          <w:b/>
          <w:bCs/>
          <w:color w:val="003399"/>
          <w:spacing w:val="-11"/>
          <w:kern w:val="36"/>
          <w:sz w:val="48"/>
          <w:szCs w:val="48"/>
          <w:lang w:eastAsia="it-IT"/>
        </w:rPr>
        <w:t>La direttiva quadro sulla SSL</w:t>
      </w:r>
    </w:p>
    <w:p w:rsidR="00A74EFD" w:rsidRPr="00A74EFD" w:rsidRDefault="00A74EFD" w:rsidP="00A74EFD">
      <w:pPr>
        <w:shd w:val="clear" w:color="auto" w:fill="FFFFFF"/>
        <w:spacing w:before="360" w:after="360" w:line="408" w:lineRule="atLeast"/>
        <w:jc w:val="both"/>
        <w:rPr>
          <w:rFonts w:ascii="Open Sans" w:eastAsia="Times New Roman" w:hAnsi="Open Sans" w:cs="Open Sans"/>
          <w:color w:val="003399"/>
          <w:sz w:val="21"/>
          <w:szCs w:val="21"/>
          <w:lang w:eastAsia="it-IT"/>
        </w:rPr>
      </w:pPr>
      <w:r w:rsidRPr="00A74EFD">
        <w:rPr>
          <w:rFonts w:ascii="Open Sans" w:eastAsia="Times New Roman" w:hAnsi="Open Sans" w:cs="Open Sans"/>
          <w:color w:val="003399"/>
          <w:sz w:val="21"/>
          <w:szCs w:val="21"/>
          <w:lang w:eastAsia="it-IT"/>
        </w:rPr>
        <w:t>La direttiva quadro europea 89/391 CEE sulla sicurezza e la salute dei lavoratori, adottata nel 1989, ha rappresentato una tappa fondamentale nel miglioramento della salute e della sicurezza sul lavoro. Essa garantisce prescrizioni minime in materia di salute e sicurezza in tutta Europa, sebbene gli Stati membri siano autorizzati a mantenere o stabilire misure più severe.</w:t>
      </w:r>
    </w:p>
    <w:p w:rsidR="00A74EFD" w:rsidRPr="00A74EFD" w:rsidRDefault="00A74EFD" w:rsidP="00A74EFD">
      <w:pPr>
        <w:shd w:val="clear" w:color="auto" w:fill="FFFFFF"/>
        <w:spacing w:before="48" w:after="120" w:line="240" w:lineRule="auto"/>
        <w:jc w:val="both"/>
        <w:rPr>
          <w:rFonts w:ascii="Open Sans" w:eastAsia="Times New Roman" w:hAnsi="Open Sans" w:cs="Open Sans"/>
          <w:color w:val="000000"/>
          <w:lang w:eastAsia="it-IT"/>
        </w:rPr>
      </w:pPr>
      <w:hyperlink r:id="rId5" w:history="1">
        <w:r w:rsidRPr="00A74EFD">
          <w:rPr>
            <w:rFonts w:ascii="Open Sans" w:eastAsia="Times New Roman" w:hAnsi="Open Sans" w:cs="Open Sans"/>
            <w:b/>
            <w:bCs/>
            <w:color w:val="003399"/>
            <w:lang w:eastAsia="it-IT"/>
          </w:rPr>
          <w:t>Direttiva 89/391 ("direttiva quadro" sulla SSL)</w:t>
        </w:r>
      </w:hyperlink>
      <w:r w:rsidRPr="00A74EFD">
        <w:rPr>
          <w:rFonts w:ascii="Open Sans" w:eastAsia="Times New Roman" w:hAnsi="Open Sans" w:cs="Open Sans"/>
          <w:color w:val="000000"/>
          <w:lang w:eastAsia="it-IT"/>
        </w:rPr>
        <w:br/>
        <w:t>del 12 giugno 1989 concernente l'attuazione di misure volte a promuovere il miglioramento della sicurezza e della salute dei lavoratori durante il lavoro (in prosieguo: "direttiva quadro").</w:t>
      </w:r>
    </w:p>
    <w:p w:rsidR="00A74EFD" w:rsidRPr="00A74EFD" w:rsidRDefault="00A74EFD" w:rsidP="00A74EFD">
      <w:pPr>
        <w:shd w:val="clear" w:color="auto" w:fill="FFFFFF"/>
        <w:spacing w:before="48" w:after="120" w:line="240" w:lineRule="auto"/>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Nel 1989, alcune disposizioni della direttiva quadro hanno apportato notevoli innovazioni, tra le quali:</w:t>
      </w:r>
    </w:p>
    <w:p w:rsidR="00A74EFD" w:rsidRPr="00A74EFD" w:rsidRDefault="00A74EFD" w:rsidP="00A74EFD">
      <w:pPr>
        <w:numPr>
          <w:ilvl w:val="0"/>
          <w:numId w:val="1"/>
        </w:numPr>
        <w:shd w:val="clear" w:color="auto" w:fill="FFFFFF"/>
        <w:spacing w:before="100" w:beforeAutospacing="1" w:after="100" w:afterAutospacing="1" w:line="240" w:lineRule="auto"/>
        <w:ind w:left="0"/>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l'espressione "ambiente di lavoro" è stata coniata conformemente alla convenzione n°155 dell'Organizzazione Internazionale del Lavoro (OIL) e indica un approccio moderno che tiene conto della sicurezza tecnica, nonché della prevenzione generale delle malattie;</w:t>
      </w:r>
    </w:p>
    <w:p w:rsidR="00A74EFD" w:rsidRPr="00A74EFD" w:rsidRDefault="00A74EFD" w:rsidP="00A74EFD">
      <w:pPr>
        <w:numPr>
          <w:ilvl w:val="0"/>
          <w:numId w:val="1"/>
        </w:numPr>
        <w:shd w:val="clear" w:color="auto" w:fill="FFFFFF"/>
        <w:spacing w:before="100" w:beforeAutospacing="1" w:after="100" w:afterAutospacing="1" w:line="240" w:lineRule="auto"/>
        <w:ind w:left="0"/>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la direttiva mira a stabilire un equo livello di salute e sicurezza a vantaggio di tutti i lavoratori (le uniche eccezioni sono costituite da lavoratori domestici e da lavoratori che operano nel servizio pubblico o che prestano servizio militare);</w:t>
      </w:r>
    </w:p>
    <w:p w:rsidR="00A74EFD" w:rsidRPr="00A74EFD" w:rsidRDefault="00A74EFD" w:rsidP="00A74EFD">
      <w:pPr>
        <w:numPr>
          <w:ilvl w:val="0"/>
          <w:numId w:val="1"/>
        </w:numPr>
        <w:shd w:val="clear" w:color="auto" w:fill="FFFFFF"/>
        <w:spacing w:before="100" w:beforeAutospacing="1" w:after="100" w:afterAutospacing="1" w:line="240" w:lineRule="auto"/>
        <w:ind w:left="0"/>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la direttiva obbliga i datori di lavoro ad adottare adeguate misure preventive per rendere il luogo di lavoro più sano e sicuro;</w:t>
      </w:r>
    </w:p>
    <w:p w:rsidR="00A74EFD" w:rsidRPr="00A74EFD" w:rsidRDefault="00A74EFD" w:rsidP="00A74EFD">
      <w:pPr>
        <w:numPr>
          <w:ilvl w:val="0"/>
          <w:numId w:val="1"/>
        </w:numPr>
        <w:shd w:val="clear" w:color="auto" w:fill="FFFFFF"/>
        <w:spacing w:before="100" w:beforeAutospacing="1" w:after="100" w:afterAutospacing="1" w:line="240" w:lineRule="auto"/>
        <w:ind w:left="0"/>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la direttiva introduce quale elemento chiave il principio di valutazione dei rischi specificandone gli elementi principali (ad esempio, individuazione dei rischi, partecipazione dei lavoratori, introduzione di misure adeguate aventi come priorità l'eliminazione dei rischi alla fonte, documentazione e rivalutazione periodica dei rischi sul luogo di lavoro);</w:t>
      </w:r>
    </w:p>
    <w:p w:rsidR="00A74EFD" w:rsidRPr="00A74EFD" w:rsidRDefault="00A74EFD" w:rsidP="00A74EFD">
      <w:pPr>
        <w:numPr>
          <w:ilvl w:val="0"/>
          <w:numId w:val="1"/>
        </w:numPr>
        <w:shd w:val="clear" w:color="auto" w:fill="FFFFFF"/>
        <w:spacing w:before="100" w:beforeAutospacing="1" w:after="100" w:afterAutospacing="1" w:line="240" w:lineRule="auto"/>
        <w:ind w:left="0"/>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il nuovo obbligo di mettere a punto misure preventive sottolinea implicitamente l'importanza di nuove forme di gestione della salute della sicurezza come parte dei processi di gestione generale.</w:t>
      </w:r>
    </w:p>
    <w:p w:rsidR="00A74EFD" w:rsidRPr="00A74EFD" w:rsidRDefault="00A74EFD" w:rsidP="00A74EFD">
      <w:pPr>
        <w:shd w:val="clear" w:color="auto" w:fill="FFFFFF"/>
        <w:spacing w:before="48" w:after="120" w:line="240" w:lineRule="auto"/>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Entro la fine del 1992 la direttiva quadro doveva essere recepita dalla legislazione nazionale. Le ripercussioni della recezione nei sistemi giuridici nazionali variano a seconda degli Stati membri. In alcuni Stati membri la direttiva quadro ha avuto notevoli conseguenze a livello giuridico, a causa dell'inadeguatezza della legislazione nazionale, mentre in altri non è stata avvertita la necessità di introdurre grandi adeguamenti.</w:t>
      </w:r>
    </w:p>
    <w:p w:rsidR="00A74EFD" w:rsidRPr="00A74EFD" w:rsidRDefault="00A74EFD" w:rsidP="00A74EFD">
      <w:pPr>
        <w:shd w:val="clear" w:color="auto" w:fill="FFFFFF"/>
        <w:spacing w:before="48" w:after="120" w:line="240" w:lineRule="auto"/>
        <w:jc w:val="both"/>
        <w:rPr>
          <w:rFonts w:ascii="Open Sans" w:eastAsia="Times New Roman" w:hAnsi="Open Sans" w:cs="Open Sans"/>
          <w:color w:val="000000"/>
          <w:lang w:eastAsia="it-IT"/>
        </w:rPr>
      </w:pPr>
      <w:r w:rsidRPr="00A74EFD">
        <w:rPr>
          <w:rFonts w:ascii="Open Sans" w:eastAsia="Times New Roman" w:hAnsi="Open Sans" w:cs="Open Sans"/>
          <w:color w:val="000000"/>
          <w:lang w:eastAsia="it-IT"/>
        </w:rPr>
        <w:t>Nel 2004 la Commissione europea ha pubblicato una </w:t>
      </w:r>
      <w:hyperlink r:id="rId6" w:tgtFrame="_blank" w:history="1">
        <w:r w:rsidRPr="00A74EFD">
          <w:rPr>
            <w:rFonts w:ascii="Open Sans" w:eastAsia="Times New Roman" w:hAnsi="Open Sans" w:cs="Open Sans"/>
            <w:color w:val="003399"/>
            <w:lang w:eastAsia="it-IT"/>
          </w:rPr>
          <w:t>comunicazione, COM(2004) 62 </w:t>
        </w:r>
      </w:hyperlink>
      <w:r w:rsidRPr="00A74EFD">
        <w:rPr>
          <w:rFonts w:ascii="Open Sans" w:eastAsia="Times New Roman" w:hAnsi="Open Sans" w:cs="Open Sans"/>
          <w:color w:val="000000"/>
          <w:lang w:eastAsia="it-IT"/>
        </w:rPr>
        <w:t>, sull'attuazione pratica delle disposizioni delle direttive concernenti la salute e la sicurezza sul lavoro, vale a dire le direttive: 89/391 CEE (direttiva quadro), 89/654 CEE (luoghi di lavoro), 89/655 CEE (attrezzature di lavoro), 89/656 CEE (attrezzature di protezione individuale), 90/269 CEE (movimentazione manuale di carichi) e 90/270 CEE (attrezzature munite di videoterminale). Tale comunicazione metteva in luce come la legislazione europea avesse influito positivamente sulle norme nazionali in materia di sicurezza e salute sul lavoro, un'influenza che si rifletteva tanto nella legislazione attuativa nazionale quanto nell'applicazione pratica nelle industrie e nelle istituzioni del settore pubblico.</w:t>
      </w:r>
    </w:p>
    <w:p w:rsidR="00A74EFD" w:rsidRPr="00A74EFD" w:rsidRDefault="00A74EFD" w:rsidP="00A74EFD">
      <w:pPr>
        <w:shd w:val="clear" w:color="auto" w:fill="FFFFFF"/>
        <w:spacing w:before="48" w:after="120" w:line="240" w:lineRule="auto"/>
        <w:rPr>
          <w:rFonts w:ascii="Open Sans" w:eastAsia="Times New Roman" w:hAnsi="Open Sans" w:cs="Open Sans"/>
          <w:color w:val="000000"/>
          <w:lang w:eastAsia="it-IT"/>
        </w:rPr>
      </w:pPr>
      <w:r w:rsidRPr="00A74EFD">
        <w:rPr>
          <w:rFonts w:ascii="Open Sans" w:eastAsia="Times New Roman" w:hAnsi="Open Sans" w:cs="Open Sans"/>
          <w:color w:val="000000"/>
          <w:lang w:eastAsia="it-IT"/>
        </w:rPr>
        <w:lastRenderedPageBreak/>
        <w:t>In termini generali, la relazione giungeva alla conclusione che la legislazione dell'UE aveva contribuito a infondere una cultura della prevenzione in tutto il territorio dell'Unione europea, nonché a razionalizzare e semplificare i sistemi legislativi nazionali. Nel contempo, tuttavia, la relazione evidenziava varie pecche nell'applicazione della legislazione, che ne determinavano il rallentamento nel pieno raggiungimento del suo potenziale, rilevando anche casi in cui erano state avviate procedure di infrazione.</w:t>
      </w:r>
    </w:p>
    <w:p w:rsidR="00E86E98" w:rsidRDefault="00E86E98"/>
    <w:sectPr w:rsidR="00E86E98" w:rsidSect="003C02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1475D"/>
    <w:multiLevelType w:val="multilevel"/>
    <w:tmpl w:val="9510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74EFD"/>
    <w:rsid w:val="003C0278"/>
    <w:rsid w:val="008571B3"/>
    <w:rsid w:val="00A13CC7"/>
    <w:rsid w:val="00A74EFD"/>
    <w:rsid w:val="00E86E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0278"/>
  </w:style>
  <w:style w:type="paragraph" w:styleId="Titolo1">
    <w:name w:val="heading 1"/>
    <w:basedOn w:val="Normale"/>
    <w:link w:val="Titolo1Carattere"/>
    <w:uiPriority w:val="9"/>
    <w:qFormat/>
    <w:rsid w:val="00A74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4EFD"/>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74E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74EFD"/>
    <w:rPr>
      <w:color w:val="0000FF"/>
      <w:u w:val="single"/>
    </w:rPr>
  </w:style>
  <w:style w:type="character" w:styleId="Enfasigrassetto">
    <w:name w:val="Strong"/>
    <w:basedOn w:val="Carpredefinitoparagrafo"/>
    <w:uiPriority w:val="22"/>
    <w:qFormat/>
    <w:rsid w:val="00A74EFD"/>
    <w:rPr>
      <w:b/>
      <w:bCs/>
    </w:rPr>
  </w:style>
  <w:style w:type="character" w:customStyle="1" w:styleId="oshatargetexternallink">
    <w:name w:val="osha_target_external_link"/>
    <w:basedOn w:val="Carpredefinitoparagrafo"/>
    <w:rsid w:val="00A74EFD"/>
  </w:style>
</w:styles>
</file>

<file path=word/webSettings.xml><?xml version="1.0" encoding="utf-8"?>
<w:webSettings xmlns:r="http://schemas.openxmlformats.org/officeDocument/2006/relationships" xmlns:w="http://schemas.openxmlformats.org/wordprocessingml/2006/main">
  <w:divs>
    <w:div w:id="88085115">
      <w:bodyDiv w:val="1"/>
      <w:marLeft w:val="0"/>
      <w:marRight w:val="0"/>
      <w:marTop w:val="0"/>
      <w:marBottom w:val="0"/>
      <w:divBdr>
        <w:top w:val="none" w:sz="0" w:space="0" w:color="auto"/>
        <w:left w:val="none" w:sz="0" w:space="0" w:color="auto"/>
        <w:bottom w:val="none" w:sz="0" w:space="0" w:color="auto"/>
        <w:right w:val="none" w:sz="0" w:space="0" w:color="auto"/>
      </w:divBdr>
      <w:divsChild>
        <w:div w:id="1865750508">
          <w:marLeft w:val="0"/>
          <w:marRight w:val="0"/>
          <w:marTop w:val="0"/>
          <w:marBottom w:val="0"/>
          <w:divBdr>
            <w:top w:val="none" w:sz="0" w:space="0" w:color="auto"/>
            <w:left w:val="none" w:sz="0" w:space="0" w:color="auto"/>
            <w:bottom w:val="none" w:sz="0" w:space="0" w:color="auto"/>
            <w:right w:val="none" w:sz="0" w:space="0" w:color="auto"/>
          </w:divBdr>
          <w:divsChild>
            <w:div w:id="1123763858">
              <w:marLeft w:val="0"/>
              <w:marRight w:val="0"/>
              <w:marTop w:val="0"/>
              <w:marBottom w:val="0"/>
              <w:divBdr>
                <w:top w:val="none" w:sz="0" w:space="0" w:color="auto"/>
                <w:left w:val="none" w:sz="0" w:space="0" w:color="auto"/>
                <w:bottom w:val="none" w:sz="0" w:space="0" w:color="auto"/>
                <w:right w:val="none" w:sz="0" w:space="0" w:color="auto"/>
              </w:divBdr>
              <w:divsChild>
                <w:div w:id="2032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6543">
          <w:marLeft w:val="0"/>
          <w:marRight w:val="0"/>
          <w:marTop w:val="0"/>
          <w:marBottom w:val="0"/>
          <w:divBdr>
            <w:top w:val="none" w:sz="0" w:space="0" w:color="auto"/>
            <w:left w:val="none" w:sz="0" w:space="0" w:color="auto"/>
            <w:bottom w:val="none" w:sz="0" w:space="0" w:color="auto"/>
            <w:right w:val="none" w:sz="0" w:space="0" w:color="auto"/>
          </w:divBdr>
          <w:divsChild>
            <w:div w:id="1526865870">
              <w:marLeft w:val="0"/>
              <w:marRight w:val="0"/>
              <w:marTop w:val="0"/>
              <w:marBottom w:val="0"/>
              <w:divBdr>
                <w:top w:val="none" w:sz="0" w:space="0" w:color="auto"/>
                <w:left w:val="none" w:sz="0" w:space="0" w:color="auto"/>
                <w:bottom w:val="none" w:sz="0" w:space="0" w:color="auto"/>
                <w:right w:val="none" w:sz="0" w:space="0" w:color="auto"/>
              </w:divBdr>
              <w:divsChild>
                <w:div w:id="12523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9351">
          <w:marLeft w:val="0"/>
          <w:marRight w:val="0"/>
          <w:marTop w:val="0"/>
          <w:marBottom w:val="0"/>
          <w:divBdr>
            <w:top w:val="none" w:sz="0" w:space="0" w:color="auto"/>
            <w:left w:val="none" w:sz="0" w:space="0" w:color="auto"/>
            <w:bottom w:val="none" w:sz="0" w:space="0" w:color="auto"/>
            <w:right w:val="none" w:sz="0" w:space="0" w:color="auto"/>
          </w:divBdr>
          <w:divsChild>
            <w:div w:id="1339846332">
              <w:marLeft w:val="0"/>
              <w:marRight w:val="0"/>
              <w:marTop w:val="0"/>
              <w:marBottom w:val="0"/>
              <w:divBdr>
                <w:top w:val="none" w:sz="0" w:space="0" w:color="auto"/>
                <w:left w:val="none" w:sz="0" w:space="0" w:color="auto"/>
                <w:bottom w:val="none" w:sz="0" w:space="0" w:color="auto"/>
                <w:right w:val="none" w:sz="0" w:space="0" w:color="auto"/>
              </w:divBdr>
              <w:divsChild>
                <w:div w:id="6406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CELEX:52004DC0062:EN:NOT" TargetMode="External"/><Relationship Id="rId5" Type="http://schemas.openxmlformats.org/officeDocument/2006/relationships/hyperlink" Target="https://osha.europa.eu/it/legislation/directives/the-osh-framework-directive/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Bellocchi</dc:creator>
  <cp:lastModifiedBy>Paola Bellocchi</cp:lastModifiedBy>
  <cp:revision>1</cp:revision>
  <dcterms:created xsi:type="dcterms:W3CDTF">2021-05-29T07:17:00Z</dcterms:created>
  <dcterms:modified xsi:type="dcterms:W3CDTF">2021-05-29T07:17:00Z</dcterms:modified>
</cp:coreProperties>
</file>