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78" w:rsidRPr="00F21A78" w:rsidRDefault="00F21A78" w:rsidP="00F21A78">
      <w:pPr>
        <w:shd w:val="clear" w:color="auto" w:fill="FFFFFF"/>
        <w:spacing w:before="810" w:after="390" w:line="240" w:lineRule="auto"/>
        <w:jc w:val="center"/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  <w:t>Equilibrio tra attività professionale e vita familiare per i genitori e i prestatori di assistenza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</w:t>
      </w:r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 xml:space="preserve">SINTESI </w:t>
      </w:r>
      <w:proofErr w:type="spellStart"/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DI</w:t>
      </w:r>
      <w:proofErr w:type="spellEnd"/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: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5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Direttiva (UE) 2019/1158 relativa all’equilibrio tra attività professionale e vita familiare per i genitori e i prestatori di assistenza</w:t>
        </w:r>
      </w:hyperlink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QUAL È LO SCOPO DELLA DIRETTIVA?</w:t>
      </w:r>
    </w:p>
    <w:p w:rsidR="00F21A78" w:rsidRPr="00F21A78" w:rsidRDefault="00F21A78" w:rsidP="00F2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Mira a garantire </w:t>
      </w:r>
      <w:hyperlink r:id="rId6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la parità di genere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per quanto riguarda le opportunità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sul mercato del lavoro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e il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trattamento sul lavoro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in tutta l’Unione europea facilitando la conciliazione tra lavoro e vita familiare per genitori e prestatori di assistenza.</w:t>
      </w:r>
    </w:p>
    <w:p w:rsidR="00F21A78" w:rsidRPr="00F21A78" w:rsidRDefault="00F21A78" w:rsidP="00F2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Stabilisce i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requisiti minimi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per i congedi familiari (paternità, parentali e per i prestatori di assistenza) e modalità di lavoro flessibili.</w:t>
      </w:r>
    </w:p>
    <w:p w:rsidR="00F21A78" w:rsidRPr="00F21A78" w:rsidRDefault="00F21A78" w:rsidP="00F2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Punta a promuovere la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partecipazione delle donne al mercato del lavoro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e a raggiungere una più equa ripartizione delle responsabilità di assistenza tra uomini e donne.</w:t>
      </w:r>
    </w:p>
    <w:p w:rsidR="00F21A78" w:rsidRPr="00F21A78" w:rsidRDefault="00F21A78" w:rsidP="00F2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Prevede incentivi volti a far sì che gli uomini condividano equamente le responsabilità di assistenza istituendo congedi di paternità e parentali retribuiti, la cui assenza è una delle cause del basso utilizzo di congedi da parte dei padri.</w:t>
      </w:r>
    </w:p>
    <w:p w:rsidR="00F21A78" w:rsidRPr="00F21A78" w:rsidRDefault="00F21A78" w:rsidP="00F21A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Lo squilibrio nella concezione delle politiche a favore dell’equilibrio tra attività professionale e vita familiare tra donne e uomini rafforza gli stereotipi e le differenze di genere nell’ambito del lavoro e dell’assistenza. Le politiche in materia di parità di trattamento dovrebbero mirare ad affrontare la questione degli stereotipi relativi alle professioni e ai ruoli sia maschili sia femminili.</w:t>
      </w:r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PUNTI CHIAVE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Ambito di applicazione</w:t>
      </w:r>
    </w:p>
    <w:p w:rsidR="00F21A78" w:rsidRPr="00F21A78" w:rsidRDefault="00F21A78" w:rsidP="00F21A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presente direttiva si applica a tutti i lavoratori che hanno un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contratto di lavoro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o un altro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rapporto di lavoro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come definito dalle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leggi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, dai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contratti collettivi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o dalle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prassi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 in vigore in ciascun paese 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lastRenderedPageBreak/>
        <w:t>dell’Unione, tenendo conto della giurisprudenza della </w:t>
      </w:r>
      <w:hyperlink r:id="rId7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Corte di giustizia dell’Unione europea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Diritti minimi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direttiva prevede diritti individuali minimi relativamente a quanto segue:</w:t>
      </w:r>
    </w:p>
    <w:p w:rsidR="00F21A78" w:rsidRPr="00F21A78" w:rsidRDefault="00F21A78" w:rsidP="00F2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congedo di paternità, congedo parentale e congedo per i prestatori di assistenza;</w:t>
      </w:r>
    </w:p>
    <w:p w:rsidR="00F21A78" w:rsidRPr="00F21A78" w:rsidRDefault="00F21A78" w:rsidP="00F2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modalità di lavoro flessibili per i lavoratori che sono genitori o prestatori di assistenza; e</w:t>
      </w:r>
    </w:p>
    <w:p w:rsidR="00F21A78" w:rsidRPr="00F21A78" w:rsidRDefault="00F21A78" w:rsidP="00F21A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tutela legale per chi fa domanda o fruisce di congedo per motivi familiari e di modalità di lavoro flessibili.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dell’Unione possono introdurre o mantenere disposizioni più favorevoli ai lavoratori.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di paternità</w:t>
      </w:r>
    </w:p>
    <w:p w:rsidR="00F21A78" w:rsidRPr="00F21A78" w:rsidRDefault="00F21A78" w:rsidP="00F2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 padre o il secondo genitore equivalente ha diritto a un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di paternità di dieci giorni lavorativi 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da fruire in occasione della nascita di un figlio.</w:t>
      </w:r>
    </w:p>
    <w:p w:rsidR="00F21A78" w:rsidRPr="00F21A78" w:rsidRDefault="00F21A78" w:rsidP="00F2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 congedo di paternità deve essere retribuito al livello della prestazione di malattia nazionale.</w:t>
      </w:r>
    </w:p>
    <w:p w:rsidR="00F21A78" w:rsidRPr="00F21A78" w:rsidRDefault="00F21A78" w:rsidP="00F2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diritto al congedo di paternità non può essere subordinato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a una determinata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anzianità lavorativa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o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di servizio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.</w:t>
      </w:r>
    </w:p>
    <w:p w:rsidR="00F21A78" w:rsidRPr="00F21A78" w:rsidRDefault="00F21A78" w:rsidP="00F21A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dell’Unione possono subordinare il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diritto a un pagamento o un’indennità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a periodi di occupazione precedente, che non devono essere superiori a sei mesi immediatamente prima della data prevista per la nascita del figlio.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parentale</w:t>
      </w:r>
    </w:p>
    <w:p w:rsidR="00F21A78" w:rsidRPr="00F21A78" w:rsidRDefault="00F21A78" w:rsidP="00F2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Ciascun lavoratore dispone di un diritto individuale al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parentale di quattro mesi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, dei quali due mesi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non possono essere trasferiti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tra i genitori.</w:t>
      </w:r>
    </w:p>
    <w:p w:rsidR="00F21A78" w:rsidRPr="00F21A78" w:rsidRDefault="00F21A78" w:rsidP="00F2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Per almeno due mesi di congedo parentale per ciascun genitore deve essere corrisposta una retribuzione di livello adeguato.</w:t>
      </w:r>
    </w:p>
    <w:p w:rsidR="00F21A78" w:rsidRPr="00F21A78" w:rsidRDefault="00F21A78" w:rsidP="00F2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dell’Unione possono subordinare il diritto al congedo parentale a una determinata anzianità lavorativa o di servizio, comunque non superiore a un anno.</w:t>
      </w:r>
    </w:p>
    <w:p w:rsidR="00F21A78" w:rsidRPr="00F21A78" w:rsidRDefault="00F21A78" w:rsidP="00F21A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dell’Unione devono garantire che i lavoratori abbiano il diritto di richiedere che il congedo parentale possa essere fruito in modo flessibile, ad esempio a tempo parziale o a periodi alternati di congedo separati da periodi di lavoro.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per i prestatori di assistenza</w:t>
      </w:r>
    </w:p>
    <w:p w:rsidR="00F21A78" w:rsidRPr="00F21A78" w:rsidRDefault="00F21A78" w:rsidP="00F21A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lastRenderedPageBreak/>
        <w:t>La direttiva introduce disposizioni per i prestatori di assistenza, cioè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lavoratori che assistono familiari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che necessitano di sostegno a causa di condizioni di salute gravi. Tali disposizioni riguardano anche persone che vivono nello stesso nucleo familiare del lavoratore.</w:t>
      </w:r>
    </w:p>
    <w:p w:rsidR="00F21A78" w:rsidRPr="00F21A78" w:rsidRDefault="00F21A78" w:rsidP="00F21A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Ogni prestatore di assistenza ha diritto a un congedo di </w:t>
      </w: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cinque giorni lavorativi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all’anno.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Modalità di lavoro flessibili</w:t>
      </w:r>
    </w:p>
    <w:p w:rsidR="00F21A78" w:rsidRPr="00F21A78" w:rsidRDefault="00F21A78" w:rsidP="00F2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lavoratori con figli fino a una determinata età, che non deve essere inferiore a otto anni, e i prestatori di assistenza hanno il diritto di chiedere orari di lavoro flessibili per motivi di assistenza.</w:t>
      </w:r>
    </w:p>
    <w:p w:rsidR="00F21A78" w:rsidRPr="00F21A78" w:rsidRDefault="00F21A78" w:rsidP="00F2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Tali modalità comprendono l’uso del lavoro a distanza, calendari di lavoro flessibili o una riduzione dell’orario di lavoro.</w:t>
      </w:r>
    </w:p>
    <w:p w:rsidR="00F21A78" w:rsidRPr="00F21A78" w:rsidRDefault="00F21A78" w:rsidP="00F2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 datore di lavoro prende in considerazione le richieste entro un periodo di tempo ragionevole e motiva l’eventuale rifiuto o rinvio di tali modalità.</w:t>
      </w:r>
    </w:p>
    <w:p w:rsidR="00F21A78" w:rsidRPr="00F21A78" w:rsidRDefault="00F21A78" w:rsidP="00F21A7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dell’Unione possono subordinare il diritto di chiedere modalità di lavoro flessibili a una determinata anzianità lavorativa o di servizio. Tale periodo non deve essere superiore a sei mesi.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Protezione giuridica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dell’Unione sono tenuti a introdurre regole volte a garantire che:</w:t>
      </w:r>
    </w:p>
    <w:p w:rsidR="00F21A78" w:rsidRPr="00F21A78" w:rsidRDefault="00F21A78" w:rsidP="00F21A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lavoratori siano protetti dalla discriminazione e dal licenziamento per avere richiesto o fruito di congedo familiare o di modalità di lavoro flessibili;</w:t>
      </w:r>
    </w:p>
    <w:p w:rsidR="00F21A78" w:rsidRPr="00F21A78" w:rsidRDefault="00F21A78" w:rsidP="00F21A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lavoratori che ritengono di essere stati licenziati per aver esercitato tali diritti possano chiedere al datore di lavoro di fornire i motivi debitamente giustificati del licenziamento;</w:t>
      </w:r>
    </w:p>
    <w:p w:rsidR="00F21A78" w:rsidRPr="00F21A78" w:rsidRDefault="00F21A78" w:rsidP="00F21A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il lavoro precedente e i diritti acquisiti o in via di acquisizione da parte dei lavoratori prima del congedo siano mantenuti dopo il congedo.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Abrogazione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direttiva abroga la direttiva </w:t>
      </w:r>
      <w:hyperlink r:id="rId8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2010/18/CE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sul congedo parentale a partire dal 2 agosto 2022.</w:t>
      </w:r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A PARTIRE DA QUANDO SI APPLICA LA DIRETTIVA?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Viene applicata dal 1</w:t>
      </w:r>
      <w:r w:rsidRPr="00F21A78">
        <w:rPr>
          <w:rFonts w:ascii="Arial" w:eastAsia="Times New Roman" w:hAnsi="Arial" w:cs="Arial"/>
          <w:color w:val="444444"/>
          <w:sz w:val="24"/>
          <w:szCs w:val="24"/>
          <w:vertAlign w:val="superscript"/>
          <w:lang w:eastAsia="it-IT"/>
        </w:rPr>
        <w:t>o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agosto 2019 e deve diventare legge negli Stati membri entro il 2 agosto 2022 (ad eccezione della retribuzione corrispondente alle ultime due settimane del congedo parentale, per le quali il termine è il 2 agosto 2024).</w:t>
      </w:r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CONTESTO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Per ulteriori informazioni consultare:</w:t>
      </w:r>
    </w:p>
    <w:p w:rsidR="00F21A78" w:rsidRPr="00F21A78" w:rsidRDefault="00F21A78" w:rsidP="00F21A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9" w:anchor="navItem-1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Equilibrio vita professionale e privata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(</w:t>
      </w:r>
      <w:r w:rsidRPr="00F21A78">
        <w:rPr>
          <w:rFonts w:ascii="Arial" w:eastAsia="Times New Roman" w:hAnsi="Arial" w:cs="Arial"/>
          <w:i/>
          <w:iCs/>
          <w:color w:val="444444"/>
          <w:sz w:val="27"/>
          <w:lang w:eastAsia="it-IT"/>
        </w:rPr>
        <w:t>Commissione europea</w:t>
      </w: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).</w:t>
      </w:r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DOCUMENTO PRINCIPALE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Direttiva (UE) </w:t>
      </w:r>
      <w:hyperlink r:id="rId10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2019/1158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Parlamento europeo e del Consiglio, del 20 giugno 2019, relativa all’equilibrio tra attività professionale e vita familiare per i genitori e i prestatori di assistenza e che abroga la direttiva 2010/18/UE del Consiglio (GU L 188 del 12.7.2019, pag. 79).</w:t>
      </w:r>
    </w:p>
    <w:p w:rsidR="00F21A78" w:rsidRPr="00F21A78" w:rsidRDefault="00F21A78" w:rsidP="00F21A78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DOCUMENTI CORRELATI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Direttiva </w:t>
      </w:r>
      <w:hyperlink r:id="rId11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2010/18/UE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Consiglio, dell’8 marzo 2010, che attua l’accordo quadro riveduto in materia di congedo parentale concluso da BUSINESSEUROPE, UEAPME, CEEP e CES e abroga la direttiva 96/34/CE (GU L 68 del 18.3.2010, pag. 13).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successive modifiche alla direttiva 2010/18/UE sono state integrate nel documento originale. La </w:t>
      </w:r>
      <w:hyperlink r:id="rId12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versione consolidata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ha esclusivamente valore documentale.</w:t>
      </w:r>
    </w:p>
    <w:p w:rsidR="00F21A78" w:rsidRPr="00F21A78" w:rsidRDefault="00F21A78" w:rsidP="00F21A78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Direttiva </w:t>
      </w:r>
      <w:hyperlink r:id="rId13" w:history="1">
        <w:r w:rsidRPr="00F21A78">
          <w:rPr>
            <w:rFonts w:ascii="Arial" w:eastAsia="Times New Roman" w:hAnsi="Arial" w:cs="Arial"/>
            <w:color w:val="3366CC"/>
            <w:sz w:val="27"/>
            <w:lang w:eastAsia="it-IT"/>
          </w:rPr>
          <w:t>92/85/CEE</w:t>
        </w:r>
      </w:hyperlink>
      <w:r w:rsidRPr="00F21A78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Consiglio, del 19 ottobre 1992, concernente l’attuazione di misure volte a promuovere il miglioramento della sicurezza e della salute sul lavoro delle lavoratrici gestanti, puerpere o in periodo di allattamento (decima direttiva particolare ai sensi dell’articolo 16, paragrafo 1 della direttiva 89/391/CEE) (GU L 348 del 28.11.1992, pag. 1).</w:t>
      </w:r>
    </w:p>
    <w:p w:rsidR="00E86E98" w:rsidRDefault="00E86E98"/>
    <w:sectPr w:rsidR="00E86E98" w:rsidSect="003B4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30E"/>
    <w:multiLevelType w:val="multilevel"/>
    <w:tmpl w:val="6AB2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AF6C26"/>
    <w:multiLevelType w:val="multilevel"/>
    <w:tmpl w:val="68D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6C27AE"/>
    <w:multiLevelType w:val="multilevel"/>
    <w:tmpl w:val="18F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F2358A"/>
    <w:multiLevelType w:val="multilevel"/>
    <w:tmpl w:val="51E0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7F42B8"/>
    <w:multiLevelType w:val="multilevel"/>
    <w:tmpl w:val="BEB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9F2486"/>
    <w:multiLevelType w:val="multilevel"/>
    <w:tmpl w:val="D186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1A22F7"/>
    <w:multiLevelType w:val="multilevel"/>
    <w:tmpl w:val="38AA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800D02"/>
    <w:multiLevelType w:val="multilevel"/>
    <w:tmpl w:val="6B04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5C3FE1"/>
    <w:multiLevelType w:val="multilevel"/>
    <w:tmpl w:val="98E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1A78"/>
    <w:rsid w:val="003B4740"/>
    <w:rsid w:val="008571B3"/>
    <w:rsid w:val="00A13CC7"/>
    <w:rsid w:val="00E86E98"/>
    <w:rsid w:val="00F2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-main">
    <w:name w:val="ti-main"/>
    <w:basedOn w:val="Normale"/>
    <w:rsid w:val="00F2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">
    <w:name w:val="normal"/>
    <w:basedOn w:val="Normale"/>
    <w:rsid w:val="00F2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-chapter">
    <w:name w:val="ti-chapter"/>
    <w:basedOn w:val="Normale"/>
    <w:rsid w:val="00F2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21A78"/>
    <w:rPr>
      <w:color w:val="0000FF"/>
      <w:u w:val="single"/>
    </w:rPr>
  </w:style>
  <w:style w:type="character" w:customStyle="1" w:styleId="bold">
    <w:name w:val="bold"/>
    <w:basedOn w:val="Carpredefinitoparagrafo"/>
    <w:rsid w:val="00F21A78"/>
  </w:style>
  <w:style w:type="character" w:customStyle="1" w:styleId="italic">
    <w:name w:val="italic"/>
    <w:basedOn w:val="Carpredefinitoparagrafo"/>
    <w:rsid w:val="00F21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AUTO/?uri=celex:32010L0018" TargetMode="External"/><Relationship Id="rId13" Type="http://schemas.openxmlformats.org/officeDocument/2006/relationships/hyperlink" Target="https://eur-lex.europa.eu/legal-content/IT/AUTO/?uri=celex:31992L00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summary/glossary/eu_court_justice.html" TargetMode="External"/><Relationship Id="rId12" Type="http://schemas.openxmlformats.org/officeDocument/2006/relationships/hyperlink" Target="https://eur-lex.europa.eu/legal-content/IT/AUTO/?uri=celex:02010L0018-2014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summary/glossary/equal_treatment.html" TargetMode="External"/><Relationship Id="rId11" Type="http://schemas.openxmlformats.org/officeDocument/2006/relationships/hyperlink" Target="https://eur-lex.europa.eu/legal-content/IT/AUTO/?uri=celex:32010L0018" TargetMode="External"/><Relationship Id="rId5" Type="http://schemas.openxmlformats.org/officeDocument/2006/relationships/hyperlink" Target="https://eur-lex.europa.eu/legal-content/IT/AUTO/?uri=celex:32019L11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IT/AUTO/?uri=celex:32019L1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social/main.jsp?catId=1311&amp;langId=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Bellocchi</dc:creator>
  <cp:lastModifiedBy>Paola Bellocchi</cp:lastModifiedBy>
  <cp:revision>1</cp:revision>
  <dcterms:created xsi:type="dcterms:W3CDTF">2021-05-27T15:35:00Z</dcterms:created>
  <dcterms:modified xsi:type="dcterms:W3CDTF">2021-05-27T15:36:00Z</dcterms:modified>
</cp:coreProperties>
</file>