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7987" w14:textId="77777777" w:rsidR="00FF2283" w:rsidRDefault="00FF22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348" w:type="dxa"/>
        <w:tblInd w:w="-289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2551"/>
        <w:gridCol w:w="2268"/>
        <w:gridCol w:w="1985"/>
        <w:gridCol w:w="1843"/>
      </w:tblGrid>
      <w:tr w:rsidR="00FF2283" w14:paraId="269C8A19" w14:textId="77777777" w:rsidTr="00814E0C">
        <w:tc>
          <w:tcPr>
            <w:tcW w:w="10348" w:type="dxa"/>
            <w:gridSpan w:val="5"/>
          </w:tcPr>
          <w:p w14:paraId="79E0229B" w14:textId="58FE50DD" w:rsidR="00FF2283" w:rsidRDefault="002543FD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RUBRICA DELLE ESERCITAZIONI DI </w:t>
            </w:r>
            <w:r w:rsidR="00F700B9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>GESTIONE DELLE EMERGENZE NON EPIDEMICHE</w:t>
            </w:r>
          </w:p>
        </w:tc>
      </w:tr>
      <w:tr w:rsidR="00FF2283" w14:paraId="3CEB5FED" w14:textId="77777777" w:rsidTr="00814E0C">
        <w:tc>
          <w:tcPr>
            <w:tcW w:w="10348" w:type="dxa"/>
            <w:gridSpan w:val="5"/>
          </w:tcPr>
          <w:p w14:paraId="5A25B1CD" w14:textId="4F31292F" w:rsidR="00F700B9" w:rsidRDefault="00814E0C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814E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Il corso </w:t>
            </w:r>
            <w:r w:rsidR="00F700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prevede, come stabilito dal</w:t>
            </w:r>
            <w:r w:rsidR="00B8470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l’ordinamento didattico, </w:t>
            </w:r>
            <w:r w:rsidR="00F700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una percentuale di attività pratica.</w:t>
            </w:r>
          </w:p>
          <w:p w14:paraId="233628AE" w14:textId="4E55852D" w:rsidR="00F700B9" w:rsidRDefault="00F700B9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Poiché tratta </w:t>
            </w:r>
            <w:r w:rsidR="00B8470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delle strategie e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de</w:t>
            </w:r>
            <w:r w:rsidR="00B8470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gli strumenti messi in atto dal Legislatore Comunitario per fronteggiare le emergenze alimentari,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l’attività pratica si traduce in </w:t>
            </w:r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>case study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sui reati alimentari</w:t>
            </w:r>
            <w:r w:rsidR="00B8470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e sulla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gestione delle non conformità.</w:t>
            </w:r>
          </w:p>
          <w:p w14:paraId="3007AB3D" w14:textId="5E52D69D" w:rsidR="00F700B9" w:rsidRDefault="00814E0C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814E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Le lezioni pratiche sono rivolte a studenti</w:t>
            </w:r>
            <w:r w:rsidR="00B8470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divisi in gruppi</w:t>
            </w:r>
            <w:r w:rsidRPr="00814E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, </w:t>
            </w:r>
            <w:r w:rsidR="00B8470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che affronteranno e risolveranno casi pratici relativi ai profili legali dell’autocontrollo (autocontrollo e responsabilità penale,</w:t>
            </w:r>
            <w:r w:rsidR="00D6430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reati per </w:t>
            </w:r>
            <w:r w:rsidR="00B8470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dolo </w:t>
            </w:r>
            <w:r w:rsidR="00D6430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o </w:t>
            </w:r>
            <w:r w:rsidR="00B8470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colpa</w:t>
            </w:r>
            <w:r w:rsidR="00B8470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), all’</w:t>
            </w:r>
            <w:r w:rsidRPr="00814E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applicazione del</w:t>
            </w:r>
            <w:r w:rsidR="00F700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sistema di Allerta Rapid</w:t>
            </w:r>
            <w:r w:rsidR="00B8470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o (RASFF)</w:t>
            </w:r>
            <w:r w:rsidR="00F700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, </w:t>
            </w:r>
            <w:r w:rsidR="00B8470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al</w:t>
            </w:r>
            <w:r w:rsidR="00F700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le modalità di richiamo e ritiro di prodotto</w:t>
            </w:r>
            <w:r w:rsidR="00D6430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, nell’ottica sia dell’Operatore del Settore Alimentare (Responsabile dell’Autocontrollo), sia di </w:t>
            </w:r>
            <w:r w:rsidR="00D6430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Autorità Competente</w:t>
            </w:r>
            <w:r w:rsidR="00D6430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, sia di </w:t>
            </w:r>
            <w:r w:rsidR="00F700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perito di parte</w:t>
            </w:r>
            <w:r w:rsidR="00D6430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. </w:t>
            </w:r>
          </w:p>
          <w:p w14:paraId="5E6AA93D" w14:textId="3F7A074D" w:rsidR="00FF2283" w:rsidRDefault="00814E0C" w:rsidP="00D827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814E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L’obiettivo del modulo consiste nel fornire allo studente le metodologie e le nozioni necessarie al</w:t>
            </w:r>
            <w:r w:rsidR="00D8271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l’applicazione de</w:t>
            </w:r>
            <w:r w:rsidR="00F700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i concetti legislativi concernenti gli</w:t>
            </w:r>
            <w:r w:rsidR="00D8271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alimenti di origine animale. Allo studente, inoltre, vengono fornite le conoscenze applicate alla lotta ai principali </w:t>
            </w:r>
            <w:r w:rsidR="00F700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reati alimentari</w:t>
            </w:r>
            <w:r w:rsidR="00853C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</w:t>
            </w:r>
            <w:r w:rsidR="00BF615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</w:p>
        </w:tc>
      </w:tr>
      <w:tr w:rsidR="00814E0C" w14:paraId="17F2ACA8" w14:textId="77777777" w:rsidTr="00814E0C">
        <w:tc>
          <w:tcPr>
            <w:tcW w:w="10348" w:type="dxa"/>
            <w:gridSpan w:val="5"/>
          </w:tcPr>
          <w:p w14:paraId="5F7A083F" w14:textId="77777777" w:rsidR="00814E0C" w:rsidRPr="00533B11" w:rsidRDefault="00814E0C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</w:rPr>
            </w:pPr>
            <w:r w:rsidRPr="009816CE">
              <w:rPr>
                <w:rFonts w:ascii="Times New Roman" w:eastAsia="Times New Roman" w:hAnsi="Times New Roman" w:cs="Times New Roman"/>
                <w:b/>
                <w:color w:val="202124"/>
              </w:rPr>
              <w:t>ATTIVITÀ E CRITERI DI VALUTAZIONE</w:t>
            </w:r>
            <w:r w:rsidRPr="00533B11">
              <w:rPr>
                <w:rFonts w:ascii="Times New Roman" w:eastAsia="Times New Roman" w:hAnsi="Times New Roman" w:cs="Times New Roman"/>
                <w:color w:val="202124"/>
              </w:rPr>
              <w:t>:</w:t>
            </w:r>
          </w:p>
          <w:p w14:paraId="4D42A37C" w14:textId="0273280F" w:rsidR="002C27F8" w:rsidRDefault="00814E0C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  <w:r>
              <w:rPr>
                <w:rFonts w:ascii="Times New Roman" w:eastAsia="Times New Roman" w:hAnsi="Times New Roman" w:cs="Times New Roman"/>
                <w:color w:val="202124"/>
              </w:rPr>
              <w:t>Le attività pratiche</w:t>
            </w:r>
            <w:r w:rsidRPr="00533B11">
              <w:rPr>
                <w:rFonts w:ascii="Times New Roman" w:eastAsia="Times New Roman" w:hAnsi="Times New Roman" w:cs="Times New Roman"/>
                <w:color w:val="202124"/>
              </w:rPr>
              <w:t xml:space="preserve"> si svolg</w:t>
            </w:r>
            <w:r>
              <w:rPr>
                <w:rFonts w:ascii="Times New Roman" w:eastAsia="Times New Roman" w:hAnsi="Times New Roman" w:cs="Times New Roman"/>
                <w:color w:val="202124"/>
              </w:rPr>
              <w:t>o</w:t>
            </w:r>
            <w:r w:rsidRPr="00533B11">
              <w:rPr>
                <w:rFonts w:ascii="Times New Roman" w:eastAsia="Times New Roman" w:hAnsi="Times New Roman" w:cs="Times New Roman"/>
                <w:color w:val="202124"/>
              </w:rPr>
              <w:t>no con la guida diretta del docente e consist</w:t>
            </w:r>
            <w:r>
              <w:rPr>
                <w:rFonts w:ascii="Times New Roman" w:eastAsia="Times New Roman" w:hAnsi="Times New Roman" w:cs="Times New Roman"/>
                <w:color w:val="202124"/>
              </w:rPr>
              <w:t>o</w:t>
            </w:r>
            <w:r w:rsidRPr="00533B11">
              <w:rPr>
                <w:rFonts w:ascii="Times New Roman" w:eastAsia="Times New Roman" w:hAnsi="Times New Roman" w:cs="Times New Roman"/>
                <w:color w:val="202124"/>
              </w:rPr>
              <w:t>no nel</w:t>
            </w:r>
            <w:r w:rsidR="00D82711">
              <w:rPr>
                <w:rFonts w:ascii="Times New Roman" w:eastAsia="Times New Roman" w:hAnsi="Times New Roman" w:cs="Times New Roman"/>
                <w:color w:val="202124"/>
              </w:rPr>
              <w:t xml:space="preserve">l’apprendimento delle </w:t>
            </w:r>
            <w:r w:rsidR="004143B7">
              <w:rPr>
                <w:rFonts w:ascii="Times New Roman" w:eastAsia="Times New Roman" w:hAnsi="Times New Roman" w:cs="Times New Roman"/>
                <w:color w:val="202124"/>
              </w:rPr>
              <w:t xml:space="preserve">pratiche </w:t>
            </w:r>
            <w:r w:rsidR="00F700B9">
              <w:rPr>
                <w:rFonts w:ascii="Times New Roman" w:eastAsia="Times New Roman" w:hAnsi="Times New Roman" w:cs="Times New Roman"/>
                <w:color w:val="202124"/>
              </w:rPr>
              <w:t>legali</w:t>
            </w:r>
            <w:r w:rsidR="004143B7">
              <w:rPr>
                <w:rFonts w:ascii="Times New Roman" w:eastAsia="Times New Roman" w:hAnsi="Times New Roman" w:cs="Times New Roman"/>
                <w:color w:val="202124"/>
              </w:rPr>
              <w:t>, la gestione del caso e la valutazione della norma.</w:t>
            </w:r>
          </w:p>
          <w:p w14:paraId="4CC43AE5" w14:textId="77777777" w:rsidR="00814E0C" w:rsidRPr="00533B11" w:rsidRDefault="00814E0C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  <w:r w:rsidRPr="00533B11">
              <w:rPr>
                <w:rFonts w:ascii="Times New Roman" w:eastAsia="Times New Roman" w:hAnsi="Times New Roman" w:cs="Times New Roman"/>
                <w:color w:val="202124"/>
              </w:rPr>
              <w:t>Al termine del corso lo studente dovrà:</w:t>
            </w:r>
          </w:p>
          <w:p w14:paraId="34BFDB45" w14:textId="65BF2387" w:rsidR="00853C3E" w:rsidRDefault="000F0B3A" w:rsidP="000F0B3A">
            <w:pPr>
              <w:pStyle w:val="Paragrafoelenco"/>
              <w:numPr>
                <w:ilvl w:val="0"/>
                <w:numId w:val="1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  <w:r w:rsidRPr="00853C3E">
              <w:rPr>
                <w:rFonts w:ascii="Times New Roman" w:eastAsia="Times New Roman" w:hAnsi="Times New Roman" w:cs="Times New Roman"/>
                <w:color w:val="202124"/>
              </w:rPr>
              <w:t xml:space="preserve">essere in grado di raccogliere ed interpretare i dati e rilievi </w:t>
            </w:r>
            <w:r w:rsidR="004143B7">
              <w:rPr>
                <w:rFonts w:ascii="Times New Roman" w:eastAsia="Times New Roman" w:hAnsi="Times New Roman" w:cs="Times New Roman"/>
                <w:color w:val="202124"/>
              </w:rPr>
              <w:t xml:space="preserve">normativi in </w:t>
            </w:r>
            <w:r w:rsidRPr="00853C3E">
              <w:rPr>
                <w:rFonts w:ascii="Times New Roman" w:eastAsia="Times New Roman" w:hAnsi="Times New Roman" w:cs="Times New Roman"/>
                <w:color w:val="202124"/>
              </w:rPr>
              <w:t>maniera autonoma e critica;</w:t>
            </w:r>
          </w:p>
          <w:p w14:paraId="4D7BBEF5" w14:textId="06FF3DA0" w:rsidR="000F0B3A" w:rsidRPr="00853C3E" w:rsidRDefault="000F0B3A" w:rsidP="000F0B3A">
            <w:pPr>
              <w:pStyle w:val="Paragrafoelenco"/>
              <w:numPr>
                <w:ilvl w:val="0"/>
                <w:numId w:val="1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  <w:r w:rsidRPr="00853C3E">
              <w:rPr>
                <w:rFonts w:ascii="Times New Roman" w:eastAsia="Times New Roman" w:hAnsi="Times New Roman" w:cs="Times New Roman"/>
                <w:color w:val="202124"/>
              </w:rPr>
              <w:t>dovrà sviluppare conoscenze trasversali, dovrà saper comunicare esprimendosi con proprietà di linguaggio (corretto uso di termini tecnico-</w:t>
            </w:r>
            <w:r w:rsidR="004143B7">
              <w:rPr>
                <w:rFonts w:ascii="Times New Roman" w:eastAsia="Times New Roman" w:hAnsi="Times New Roman" w:cs="Times New Roman"/>
                <w:color w:val="202124"/>
              </w:rPr>
              <w:t>normativi</w:t>
            </w:r>
            <w:r w:rsidRPr="00853C3E">
              <w:rPr>
                <w:rFonts w:ascii="Times New Roman" w:eastAsia="Times New Roman" w:hAnsi="Times New Roman" w:cs="Times New Roman"/>
                <w:color w:val="202124"/>
              </w:rPr>
              <w:t>) ed avere capacità di sintesi.</w:t>
            </w:r>
          </w:p>
          <w:p w14:paraId="652B9C73" w14:textId="59CE4C8A" w:rsidR="00814E0C" w:rsidRPr="00533B11" w:rsidRDefault="00814E0C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  <w:r>
              <w:rPr>
                <w:rFonts w:ascii="Times New Roman" w:eastAsia="Times New Roman" w:hAnsi="Times New Roman" w:cs="Times New Roman"/>
                <w:color w:val="202124"/>
              </w:rPr>
              <w:t xml:space="preserve">Alla fine del corso lo studente deve </w:t>
            </w:r>
            <w:r w:rsidRPr="00533B11">
              <w:rPr>
                <w:rFonts w:ascii="Times New Roman" w:eastAsia="Times New Roman" w:hAnsi="Times New Roman" w:cs="Times New Roman"/>
                <w:color w:val="202124"/>
              </w:rPr>
              <w:t>aver appreso le metodiche di lavoro, il rispetto delle regole, dimostrare la conoscenza delle strutture normali indispensabili al riconoscimento e trattament</w:t>
            </w:r>
            <w:r>
              <w:rPr>
                <w:rFonts w:ascii="Times New Roman" w:eastAsia="Times New Roman" w:hAnsi="Times New Roman" w:cs="Times New Roman"/>
                <w:color w:val="202124"/>
              </w:rPr>
              <w:t xml:space="preserve">o dei casi; </w:t>
            </w:r>
            <w:r w:rsidRPr="00533B11">
              <w:rPr>
                <w:rFonts w:ascii="Times New Roman" w:eastAsia="Times New Roman" w:hAnsi="Times New Roman" w:cs="Times New Roman"/>
                <w:color w:val="202124"/>
              </w:rPr>
              <w:t xml:space="preserve">dimostrare di aver acquisito le conoscenze propedeutiche necessarie per seguire con profitto i successivi corsi integrati. </w:t>
            </w:r>
          </w:p>
          <w:p w14:paraId="551DCEBA" w14:textId="77777777" w:rsidR="00814E0C" w:rsidRPr="00533B11" w:rsidRDefault="00814E0C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  <w:r w:rsidRPr="00533B11">
              <w:rPr>
                <w:rFonts w:ascii="Times New Roman" w:eastAsia="Times New Roman" w:hAnsi="Times New Roman" w:cs="Times New Roman"/>
                <w:color w:val="202124"/>
              </w:rPr>
              <w:t>Alla</w:t>
            </w:r>
            <w:r>
              <w:rPr>
                <w:rFonts w:ascii="Times New Roman" w:eastAsia="Times New Roman" w:hAnsi="Times New Roman" w:cs="Times New Roman"/>
                <w:color w:val="202124"/>
              </w:rPr>
              <w:t xml:space="preserve"> fine del Modulo il docente produce</w:t>
            </w:r>
            <w:r w:rsidRPr="00533B11">
              <w:rPr>
                <w:rFonts w:ascii="Times New Roman" w:eastAsia="Times New Roman" w:hAnsi="Times New Roman" w:cs="Times New Roman"/>
                <w:color w:val="202124"/>
              </w:rPr>
              <w:t xml:space="preserve"> una valutazione individuale </w:t>
            </w:r>
            <w:r>
              <w:rPr>
                <w:rFonts w:ascii="Times New Roman" w:eastAsia="Times New Roman" w:hAnsi="Times New Roman" w:cs="Times New Roman"/>
                <w:color w:val="202124"/>
              </w:rPr>
              <w:t xml:space="preserve">scritta e orale </w:t>
            </w:r>
            <w:r w:rsidRPr="00533B11">
              <w:rPr>
                <w:rFonts w:ascii="Times New Roman" w:eastAsia="Times New Roman" w:hAnsi="Times New Roman" w:cs="Times New Roman"/>
                <w:color w:val="202124"/>
              </w:rPr>
              <w:t xml:space="preserve">con giudizio di idoneità o non idoneità </w:t>
            </w:r>
            <w:r>
              <w:rPr>
                <w:rFonts w:ascii="Times New Roman" w:eastAsia="Times New Roman" w:hAnsi="Times New Roman" w:cs="Times New Roman"/>
                <w:color w:val="202124"/>
              </w:rPr>
              <w:t xml:space="preserve">e votazione </w:t>
            </w:r>
            <w:r w:rsidRPr="00533B11">
              <w:rPr>
                <w:rFonts w:ascii="Times New Roman" w:eastAsia="Times New Roman" w:hAnsi="Times New Roman" w:cs="Times New Roman"/>
                <w:color w:val="202124"/>
              </w:rPr>
              <w:t>finale.</w:t>
            </w:r>
          </w:p>
          <w:p w14:paraId="5199E4FD" w14:textId="01EF96D5" w:rsidR="00814E0C" w:rsidRDefault="00814E0C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FF2283" w14:paraId="7FE39AEB" w14:textId="77777777" w:rsidTr="00814E0C">
        <w:tc>
          <w:tcPr>
            <w:tcW w:w="10348" w:type="dxa"/>
            <w:gridSpan w:val="5"/>
          </w:tcPr>
          <w:p w14:paraId="53D66E57" w14:textId="77777777" w:rsidR="00FF2283" w:rsidRDefault="00BF61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RUBRICA</w:t>
            </w:r>
          </w:p>
          <w:p w14:paraId="6453DA1E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FF2283" w14:paraId="183304D5" w14:textId="77777777" w:rsidTr="00814E0C">
        <w:tc>
          <w:tcPr>
            <w:tcW w:w="10348" w:type="dxa"/>
            <w:gridSpan w:val="5"/>
          </w:tcPr>
          <w:p w14:paraId="59BB2A65" w14:textId="77777777" w:rsidR="00FF2283" w:rsidRDefault="00BF61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LIVELLI DI CONOSCENZA E QUALIFICA</w:t>
            </w:r>
          </w:p>
          <w:p w14:paraId="7C565CCC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FF2283" w14:paraId="218A41CC" w14:textId="77777777" w:rsidTr="00814E0C">
        <w:tc>
          <w:tcPr>
            <w:tcW w:w="1701" w:type="dxa"/>
          </w:tcPr>
          <w:p w14:paraId="784D29A1" w14:textId="77777777" w:rsidR="00FF2283" w:rsidRDefault="00BF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ABILITÁ     </w:t>
            </w:r>
          </w:p>
        </w:tc>
        <w:tc>
          <w:tcPr>
            <w:tcW w:w="2551" w:type="dxa"/>
          </w:tcPr>
          <w:p w14:paraId="434305EA" w14:textId="77777777" w:rsidR="00FF2283" w:rsidRDefault="00BF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INSUFFICIENTE</w:t>
            </w:r>
          </w:p>
          <w:p w14:paraId="7D46C8BB" w14:textId="77777777" w:rsidR="00FF2283" w:rsidRDefault="00BF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0-4 PUNTI</w:t>
            </w:r>
          </w:p>
        </w:tc>
        <w:tc>
          <w:tcPr>
            <w:tcW w:w="2268" w:type="dxa"/>
          </w:tcPr>
          <w:p w14:paraId="1F8FAF43" w14:textId="77777777" w:rsidR="00FF2283" w:rsidRDefault="00BF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SUFFICIENTE</w:t>
            </w:r>
          </w:p>
          <w:p w14:paraId="66436498" w14:textId="77777777" w:rsidR="00FF2283" w:rsidRDefault="00BF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5-8 PUNTI</w:t>
            </w:r>
          </w:p>
        </w:tc>
        <w:tc>
          <w:tcPr>
            <w:tcW w:w="1985" w:type="dxa"/>
          </w:tcPr>
          <w:p w14:paraId="42771175" w14:textId="77777777" w:rsidR="00FF2283" w:rsidRDefault="00BF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BUONO</w:t>
            </w:r>
          </w:p>
          <w:p w14:paraId="6CE5811B" w14:textId="77777777" w:rsidR="00FF2283" w:rsidRDefault="00BF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9-12 PUNTI</w:t>
            </w:r>
          </w:p>
        </w:tc>
        <w:tc>
          <w:tcPr>
            <w:tcW w:w="1843" w:type="dxa"/>
          </w:tcPr>
          <w:p w14:paraId="3B96CD37" w14:textId="77777777" w:rsidR="00FF2283" w:rsidRDefault="00BF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OTTIMO</w:t>
            </w:r>
          </w:p>
          <w:p w14:paraId="234B79BE" w14:textId="77777777" w:rsidR="00FF2283" w:rsidRDefault="00BF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13-15 PUNTI</w:t>
            </w:r>
          </w:p>
        </w:tc>
      </w:tr>
      <w:tr w:rsidR="00FF2283" w14:paraId="3A293EE1" w14:textId="77777777" w:rsidTr="00814E0C">
        <w:tc>
          <w:tcPr>
            <w:tcW w:w="1701" w:type="dxa"/>
          </w:tcPr>
          <w:p w14:paraId="500AE56F" w14:textId="77777777" w:rsidR="00FF2283" w:rsidRDefault="00BF6157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Capacità di lavorare in gruppo e di utilizzare in modo critico le fonti bibliografiche (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DOCs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1.4, 1.8)</w:t>
            </w:r>
          </w:p>
          <w:p w14:paraId="4D10A140" w14:textId="77777777" w:rsidR="00FF2283" w:rsidRDefault="00BF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1206EA7F" w14:textId="77777777" w:rsidR="00FF2283" w:rsidRDefault="00BF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Lo studente lavora solo individualmente e non riconosce le altre figure professionali utili alla risoluzione del caso.</w:t>
            </w:r>
          </w:p>
          <w:p w14:paraId="2E5EC03D" w14:textId="39904407" w:rsidR="00FF2283" w:rsidRDefault="00BF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Non individua i rilievi </w:t>
            </w:r>
            <w:r w:rsidR="004143B7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normativi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più importanti. </w:t>
            </w:r>
          </w:p>
          <w:p w14:paraId="04019D2F" w14:textId="77777777" w:rsidR="00FF2283" w:rsidRDefault="00FF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F7D051" w14:textId="60771474" w:rsidR="00FF2283" w:rsidRDefault="00BF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Lo studente lavora poco in gruppo, individua alcuni rilievi </w:t>
            </w:r>
            <w:r w:rsidR="004143B7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normativi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primari.</w:t>
            </w:r>
          </w:p>
          <w:p w14:paraId="59FF8EC3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14B8CA" w14:textId="09826033" w:rsidR="00FF2283" w:rsidRDefault="00BF61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Lo studente lavora in gruppo, individua tutti i rilievi </w:t>
            </w:r>
            <w:r w:rsidR="004143B7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normativi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primari.</w:t>
            </w:r>
          </w:p>
          <w:p w14:paraId="0201F115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8A61FC" w14:textId="4D3D215D" w:rsidR="00FF2283" w:rsidRDefault="00BF61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Lo studente lavora in gruppo e     individua tutti i rilievi </w:t>
            </w:r>
            <w:r w:rsidR="004143B7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normativi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primari e secondari.</w:t>
            </w:r>
          </w:p>
          <w:p w14:paraId="1ADDD299" w14:textId="77777777" w:rsidR="00FF2283" w:rsidRDefault="00BF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inherit" w:eastAsia="inherit" w:hAnsi="inherit" w:cs="inherit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      </w:t>
            </w:r>
          </w:p>
          <w:p w14:paraId="4AE4FE17" w14:textId="77777777" w:rsidR="00FF2283" w:rsidRDefault="00FF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inherit" w:eastAsia="inherit" w:hAnsi="inherit" w:cs="inherit"/>
                <w:color w:val="202124"/>
                <w:sz w:val="20"/>
                <w:szCs w:val="20"/>
              </w:rPr>
            </w:pPr>
          </w:p>
          <w:p w14:paraId="4DF48F46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</w:tr>
      <w:tr w:rsidR="00FF2283" w14:paraId="0F068666" w14:textId="77777777" w:rsidTr="00814E0C">
        <w:tc>
          <w:tcPr>
            <w:tcW w:w="1701" w:type="dxa"/>
          </w:tcPr>
          <w:p w14:paraId="5B5E1E65" w14:textId="47B48478" w:rsidR="00FF2283" w:rsidRDefault="00BF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Attitudine per lo studio </w:t>
            </w:r>
            <w:r w:rsidR="004143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della normativa inerente all’ispezione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degli alimenti di origine animale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DOCs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1.17, 1.18, 1.19, 1.22)</w:t>
            </w:r>
          </w:p>
        </w:tc>
        <w:tc>
          <w:tcPr>
            <w:tcW w:w="2551" w:type="dxa"/>
          </w:tcPr>
          <w:p w14:paraId="44C0EEAB" w14:textId="45785576" w:rsidR="00FF2283" w:rsidRDefault="00BF61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lastRenderedPageBreak/>
              <w:t xml:space="preserve">Lo studente </w:t>
            </w:r>
            <w:r w:rsidR="004143B7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analizza ed interpreta la simulazione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in modo molto superficiale. Non identifica le </w:t>
            </w:r>
            <w:r w:rsidR="004143B7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infrazioni ai codici di legge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più rilevanti. Non descrive correttamente </w:t>
            </w:r>
            <w:r w:rsidR="004143B7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il caso.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</w:t>
            </w:r>
          </w:p>
          <w:p w14:paraId="3890F821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2C8BD3F2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6FE3C0" w14:textId="09DFBBAC" w:rsidR="00FF2283" w:rsidRDefault="00BF6157" w:rsidP="004143B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Lo studente esegue la </w:t>
            </w:r>
            <w:r w:rsidR="004143B7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simulazione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con interesse. </w:t>
            </w:r>
            <w:r w:rsidR="004143B7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Non identifica le infrazioni ai codici rilevanti. Descrive in maniera non corretta il caso. </w:t>
            </w:r>
          </w:p>
        </w:tc>
        <w:tc>
          <w:tcPr>
            <w:tcW w:w="1985" w:type="dxa"/>
          </w:tcPr>
          <w:p w14:paraId="0E81408D" w14:textId="68C3BBCD" w:rsidR="00FF2283" w:rsidRDefault="00BF61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Lo studente esegue la </w:t>
            </w:r>
            <w:r w:rsidR="004143B7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simulazione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con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precisione e con interesse. Identifica la maggior parte delle </w:t>
            </w:r>
            <w:r w:rsidR="004143B7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infrazioni più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rilevanti. </w:t>
            </w:r>
            <w:r w:rsidR="004143B7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Viene descritto il caso per la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maggior parte. </w:t>
            </w:r>
          </w:p>
          <w:p w14:paraId="0F96282F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0E904714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037FFD" w14:textId="184B4478" w:rsidR="00FF2283" w:rsidRDefault="00BF61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lastRenderedPageBreak/>
              <w:t xml:space="preserve">Lo studente esegue la </w:t>
            </w:r>
            <w:r w:rsidR="004143B7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simulazione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con precisione ed interesse. Identifica tutte le </w:t>
            </w:r>
            <w:r w:rsidR="004143B7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infrazioni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rilevanti. </w:t>
            </w:r>
            <w:r w:rsidR="004143B7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Il caso viene descritto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correttamente.</w:t>
            </w:r>
          </w:p>
          <w:p w14:paraId="3151EFD1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2F69F5C6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FF2283" w14:paraId="073E62E9" w14:textId="77777777" w:rsidTr="00814E0C">
        <w:tc>
          <w:tcPr>
            <w:tcW w:w="1701" w:type="dxa"/>
          </w:tcPr>
          <w:p w14:paraId="085EA5E3" w14:textId="77777777" w:rsidR="00FF2283" w:rsidRPr="00C82DD1" w:rsidRDefault="00BF6157" w:rsidP="00C82DD1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C82DD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Presentazione orale</w:t>
            </w:r>
          </w:p>
          <w:p w14:paraId="320EBD19" w14:textId="77777777" w:rsidR="00FF2283" w:rsidRPr="00C82DD1" w:rsidRDefault="00BF6157" w:rsidP="00C82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C82DD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(DOC 1.4)</w:t>
            </w:r>
          </w:p>
        </w:tc>
        <w:tc>
          <w:tcPr>
            <w:tcW w:w="2551" w:type="dxa"/>
          </w:tcPr>
          <w:p w14:paraId="7A79346E" w14:textId="042D8DC9" w:rsidR="00FF2283" w:rsidRDefault="00BF61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Lo studente descrive il caso 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ispettivo in maniera incompleta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. Il caso presenta errori nella sintesi, nel ragionamento e nei risultati. La risoluzione del caso non applica il metodo scientifico. La presentazione è vaga, incoerente, ripetitiva. Non indica lesioni.</w:t>
            </w:r>
          </w:p>
          <w:p w14:paraId="16DD63B0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46461700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ED4075" w14:textId="4337CC21" w:rsidR="00FF2283" w:rsidRDefault="00BF61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Lo studente descrive il caso 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ispettivo in maniera completa.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intetizza, motiva e integra alcuni risultati. 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Per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l’espressione del giudizio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ispettivo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applica il metodo scientifico. La presentazione è abbastanza coerente, ma incerta. Non indica la maggior parte dei rilievi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ispettivi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.</w:t>
            </w:r>
          </w:p>
          <w:p w14:paraId="6DCE79BB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20E1BD" w14:textId="57ECE218" w:rsidR="00FF2283" w:rsidRDefault="00BF61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Lo studente descrive il caso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ispettivo in maniera completa. Sintetizza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, motiva e integra la maggior parte dei risultati.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Per l’espressione del giudizio ispettivo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applica il metodo scientifico. La presentazione è abbastanza coerente, chiara e sintetica. Indica la maggior parte dei rilievi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ispettivi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.</w:t>
            </w:r>
          </w:p>
          <w:p w14:paraId="7980CB3A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34F8ED" w14:textId="49F21B96" w:rsidR="00FF2283" w:rsidRDefault="00BF6157" w:rsidP="00C82D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Lo studente descrive il caso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ispettivo in maniera completa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.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Sintetizza, motiva e integra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tutti i risultati.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Per l’espressione del giudizio ispettivo applica il metodo scientifico.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La presentazione è molto coerente, chiara e sintetica.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Indica tutti i rilievi ispettivi.</w:t>
            </w:r>
          </w:p>
        </w:tc>
      </w:tr>
    </w:tbl>
    <w:p w14:paraId="399B83A7" w14:textId="77777777" w:rsidR="00C82DD1" w:rsidRDefault="00C82D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FBFC00" w14:textId="77777777" w:rsidR="00C82DD1" w:rsidRDefault="00C82DD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D8F5FAB" w14:textId="1E4DBED6" w:rsidR="00FF2283" w:rsidRDefault="00BF615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Scheda di valutazione delle Esercitazione di </w:t>
      </w:r>
      <w:r w:rsidR="002C27F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2C27F8" w:rsidRPr="002C27F8">
        <w:rPr>
          <w:rFonts w:ascii="Times New Roman" w:eastAsia="Times New Roman" w:hAnsi="Times New Roman" w:cs="Times New Roman"/>
          <w:b/>
          <w:sz w:val="24"/>
          <w:szCs w:val="24"/>
        </w:rPr>
        <w:t>spezione e controllo dei prodotti trasformati di origine animale</w:t>
      </w:r>
    </w:p>
    <w:p w14:paraId="5055CECE" w14:textId="77777777" w:rsidR="00FF2283" w:rsidRDefault="00FF228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EB8AB5" w14:textId="77777777" w:rsidR="00FF2283" w:rsidRDefault="00BF615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Nome e Cognome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________________________________    matricola ______________________</w:t>
      </w:r>
    </w:p>
    <w:p w14:paraId="1534FB60" w14:textId="77777777" w:rsidR="00FF2283" w:rsidRDefault="00FF2283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2C9C5F81" w14:textId="77777777" w:rsidR="00FF2283" w:rsidRDefault="00FF2283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0"/>
        <w:tblW w:w="9903" w:type="dxa"/>
        <w:tblInd w:w="-274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2532"/>
        <w:gridCol w:w="2457"/>
        <w:gridCol w:w="2457"/>
        <w:gridCol w:w="2457"/>
      </w:tblGrid>
      <w:tr w:rsidR="00FF2283" w14:paraId="1D8B77AD" w14:textId="77777777" w:rsidTr="002C27F8">
        <w:tc>
          <w:tcPr>
            <w:tcW w:w="2532" w:type="dxa"/>
          </w:tcPr>
          <w:p w14:paraId="0608923C" w14:textId="6B5AD0F3" w:rsidR="00FF2283" w:rsidRDefault="00BF6157" w:rsidP="002C2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INDICATORI</w:t>
            </w:r>
          </w:p>
        </w:tc>
        <w:tc>
          <w:tcPr>
            <w:tcW w:w="2457" w:type="dxa"/>
          </w:tcPr>
          <w:p w14:paraId="11DECE62" w14:textId="77777777" w:rsidR="00FF2283" w:rsidRDefault="00BF6157" w:rsidP="002C2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Data</w:t>
            </w:r>
          </w:p>
        </w:tc>
        <w:tc>
          <w:tcPr>
            <w:tcW w:w="2457" w:type="dxa"/>
          </w:tcPr>
          <w:p w14:paraId="2BA03D20" w14:textId="77777777" w:rsidR="00FF2283" w:rsidRDefault="00BF6157" w:rsidP="002C2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Punteggio</w:t>
            </w:r>
          </w:p>
        </w:tc>
        <w:tc>
          <w:tcPr>
            <w:tcW w:w="2457" w:type="dxa"/>
          </w:tcPr>
          <w:p w14:paraId="3D55BEF4" w14:textId="77777777" w:rsidR="00FF2283" w:rsidRDefault="00BF6157" w:rsidP="002C2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Firma</w:t>
            </w:r>
          </w:p>
        </w:tc>
      </w:tr>
      <w:tr w:rsidR="00FF2283" w14:paraId="64773530" w14:textId="77777777" w:rsidTr="002C27F8">
        <w:tc>
          <w:tcPr>
            <w:tcW w:w="2532" w:type="dxa"/>
          </w:tcPr>
          <w:p w14:paraId="0A7AE3F2" w14:textId="77777777" w:rsidR="00FF2283" w:rsidRDefault="00BF6157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Capacità di lavorare in gruppo e di utilizzare in modo critico le fonti bibliografiche (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DOCs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1.4, 1.8)</w:t>
            </w:r>
          </w:p>
          <w:p w14:paraId="278761F4" w14:textId="77777777" w:rsidR="00FF2283" w:rsidRDefault="00BF6157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</w:tcPr>
          <w:p w14:paraId="0FC59979" w14:textId="77777777" w:rsidR="00FF2283" w:rsidRDefault="00BF6157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. </w:t>
            </w:r>
          </w:p>
          <w:p w14:paraId="2A9D638A" w14:textId="77777777" w:rsidR="00FF2283" w:rsidRDefault="00FF2283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457" w:type="dxa"/>
          </w:tcPr>
          <w:p w14:paraId="730081E4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457" w:type="dxa"/>
          </w:tcPr>
          <w:p w14:paraId="75840315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</w:tr>
      <w:tr w:rsidR="00FF2283" w14:paraId="2DCB7A4A" w14:textId="77777777" w:rsidTr="002C27F8">
        <w:tc>
          <w:tcPr>
            <w:tcW w:w="2532" w:type="dxa"/>
          </w:tcPr>
          <w:p w14:paraId="4C405651" w14:textId="77777777" w:rsidR="00FF2283" w:rsidRDefault="00BF6157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Attitudine per lo studio della clinica chirurgica, in particolare rilievi clinici, diagnosi differenziali e terapie (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DOCs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1.17, 1.18, 1.19, 1.22)</w:t>
            </w:r>
          </w:p>
        </w:tc>
        <w:tc>
          <w:tcPr>
            <w:tcW w:w="2457" w:type="dxa"/>
          </w:tcPr>
          <w:p w14:paraId="5B3C4022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317548F8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7B7D2C27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2457" w:type="dxa"/>
          </w:tcPr>
          <w:p w14:paraId="0C13E11D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71AFBC45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457" w:type="dxa"/>
          </w:tcPr>
          <w:p w14:paraId="7DD69FBE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2DBB45D1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04723E44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</w:tr>
      <w:tr w:rsidR="00FF2283" w14:paraId="5F8F3759" w14:textId="77777777" w:rsidTr="002C27F8">
        <w:tc>
          <w:tcPr>
            <w:tcW w:w="2532" w:type="dxa"/>
          </w:tcPr>
          <w:p w14:paraId="721F3C93" w14:textId="77777777" w:rsidR="00FF2283" w:rsidRPr="00C82DD1" w:rsidRDefault="00BF6157" w:rsidP="00C82DD1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C82DD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Presentazione orale</w:t>
            </w:r>
          </w:p>
          <w:p w14:paraId="3363CF7C" w14:textId="77777777" w:rsidR="00FF2283" w:rsidRPr="00C82DD1" w:rsidRDefault="00BF6157" w:rsidP="00C82DD1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C82DD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(DOC 1.4)</w:t>
            </w:r>
          </w:p>
        </w:tc>
        <w:tc>
          <w:tcPr>
            <w:tcW w:w="2457" w:type="dxa"/>
          </w:tcPr>
          <w:p w14:paraId="171B9A19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18F36097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457" w:type="dxa"/>
          </w:tcPr>
          <w:p w14:paraId="4BCD3A7A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1B4927F3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457" w:type="dxa"/>
          </w:tcPr>
          <w:p w14:paraId="608E4FA5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4E9259E3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</w:tr>
    </w:tbl>
    <w:p w14:paraId="144B4207" w14:textId="77777777" w:rsidR="00FF2283" w:rsidRDefault="00FF2283">
      <w:pPr>
        <w:ind w:hanging="425"/>
        <w:rPr>
          <w:rFonts w:ascii="Times New Roman" w:eastAsia="Times New Roman" w:hAnsi="Times New Roman" w:cs="Times New Roman"/>
          <w:sz w:val="20"/>
          <w:szCs w:val="20"/>
        </w:rPr>
      </w:pPr>
    </w:p>
    <w:p w14:paraId="2630C137" w14:textId="77777777" w:rsidR="00FF2283" w:rsidRDefault="00FF2283">
      <w:pPr>
        <w:ind w:hanging="425"/>
        <w:rPr>
          <w:rFonts w:ascii="Times New Roman" w:eastAsia="Times New Roman" w:hAnsi="Times New Roman" w:cs="Times New Roman"/>
          <w:sz w:val="20"/>
          <w:szCs w:val="20"/>
        </w:rPr>
      </w:pPr>
    </w:p>
    <w:p w14:paraId="37711713" w14:textId="77777777" w:rsidR="00FF2283" w:rsidRDefault="00FF2283">
      <w:pPr>
        <w:ind w:hanging="425"/>
        <w:rPr>
          <w:rFonts w:ascii="Times New Roman" w:eastAsia="Times New Roman" w:hAnsi="Times New Roman" w:cs="Times New Roman"/>
          <w:sz w:val="20"/>
          <w:szCs w:val="20"/>
        </w:rPr>
      </w:pPr>
    </w:p>
    <w:sectPr w:rsidR="00FF228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A7AFA"/>
    <w:multiLevelType w:val="hybridMultilevel"/>
    <w:tmpl w:val="85663932"/>
    <w:lvl w:ilvl="0" w:tplc="5EF2E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2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83"/>
    <w:rsid w:val="000F0B3A"/>
    <w:rsid w:val="002543FD"/>
    <w:rsid w:val="002C27F8"/>
    <w:rsid w:val="003672A4"/>
    <w:rsid w:val="004143B7"/>
    <w:rsid w:val="00814E0C"/>
    <w:rsid w:val="00853C3E"/>
    <w:rsid w:val="00B04DC2"/>
    <w:rsid w:val="00B84701"/>
    <w:rsid w:val="00BF6157"/>
    <w:rsid w:val="00C82DD1"/>
    <w:rsid w:val="00CD7907"/>
    <w:rsid w:val="00D64309"/>
    <w:rsid w:val="00D82711"/>
    <w:rsid w:val="00F700B9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D929"/>
  <w15:docId w15:val="{44E8FDA0-5760-425B-B197-815202F5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A02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A0219"/>
    <w:rPr>
      <w:rFonts w:ascii="Consolas" w:hAnsi="Consolas"/>
      <w:sz w:val="20"/>
      <w:szCs w:val="20"/>
    </w:rPr>
  </w:style>
  <w:style w:type="table" w:styleId="Grigliatabella">
    <w:name w:val="Table Grid"/>
    <w:basedOn w:val="Tabellanormale"/>
    <w:uiPriority w:val="39"/>
    <w:rsid w:val="00720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7200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ncochiaro-Colore3">
    <w:name w:val="Light List Accent 3"/>
    <w:basedOn w:val="Tabellanormale"/>
    <w:uiPriority w:val="61"/>
    <w:rsid w:val="007200CF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53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IgfcjXKaUmriKVQJ+GVs1QE71g==">AMUW2mX4j5a8+MgKy7VUA+xRnG3i0AlELj5nDMsruPOfkecNgcvU3Axuyr/TjwUh8jyuZoSY2gd4u4KkST+BEhPztSJLv16JZ6nLFf1n0VRZ8ySc3UUuCZ7wQAVxMKfT4PHaJtFo0SFs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Vignoli</dc:creator>
  <cp:lastModifiedBy>Utente</cp:lastModifiedBy>
  <cp:revision>3</cp:revision>
  <dcterms:created xsi:type="dcterms:W3CDTF">2022-10-24T08:12:00Z</dcterms:created>
  <dcterms:modified xsi:type="dcterms:W3CDTF">2022-10-24T08:26:00Z</dcterms:modified>
</cp:coreProperties>
</file>