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3E52" w14:textId="77777777" w:rsidR="005658ED" w:rsidRDefault="005658ED" w:rsidP="00B050DA">
      <w:pPr>
        <w:ind w:left="720" w:hanging="360"/>
      </w:pPr>
    </w:p>
    <w:p w14:paraId="4C000533" w14:textId="28910895" w:rsidR="005658ED" w:rsidRDefault="00B050DA" w:rsidP="00B050DA">
      <w:pPr>
        <w:pStyle w:val="Paragrafoelenco"/>
        <w:jc w:val="center"/>
        <w:rPr>
          <w:rFonts w:ascii="Palatino Linotype" w:hAnsi="Palatino Linotype" w:cs="Aldhabi"/>
          <w:sz w:val="32"/>
          <w:szCs w:val="32"/>
          <w:u w:val="single"/>
          <w:lang w:val="it-IT"/>
        </w:rPr>
      </w:pPr>
      <w:r>
        <w:rPr>
          <w:rFonts w:ascii="Palatino Linotype" w:hAnsi="Palatino Linotype" w:cs="Aldhabi"/>
          <w:sz w:val="32"/>
          <w:szCs w:val="32"/>
          <w:u w:val="single"/>
          <w:lang w:val="it-IT"/>
        </w:rPr>
        <w:t>DIRITTO ALL’OBLIO SU INTERNET</w:t>
      </w:r>
    </w:p>
    <w:p w14:paraId="5F02F393" w14:textId="77777777" w:rsidR="00B050DA" w:rsidRPr="00B050DA" w:rsidRDefault="00B050DA" w:rsidP="00B050DA">
      <w:pPr>
        <w:pStyle w:val="Paragrafoelenco"/>
        <w:jc w:val="both"/>
        <w:rPr>
          <w:rFonts w:ascii="Palatino Linotype" w:hAnsi="Palatino Linotype" w:cs="Aldhabi"/>
          <w:sz w:val="32"/>
          <w:szCs w:val="32"/>
          <w:u w:val="single"/>
          <w:lang w:val="it-IT"/>
        </w:rPr>
      </w:pPr>
    </w:p>
    <w:p w14:paraId="0E5782CB" w14:textId="63338EF4" w:rsidR="00FB7103" w:rsidRPr="00B050DA" w:rsidRDefault="00606DE5" w:rsidP="00B050DA">
      <w:pPr>
        <w:pStyle w:val="Paragrafoelenco"/>
        <w:numPr>
          <w:ilvl w:val="0"/>
          <w:numId w:val="1"/>
        </w:numPr>
        <w:jc w:val="both"/>
        <w:rPr>
          <w:rFonts w:ascii="Palatino Linotype" w:hAnsi="Palatino Linotype" w:cs="Aldhabi"/>
          <w:b/>
          <w:bCs/>
          <w:sz w:val="24"/>
          <w:szCs w:val="24"/>
          <w:lang w:val="it-IT"/>
        </w:rPr>
      </w:pPr>
      <w:r w:rsidRPr="00B050DA">
        <w:rPr>
          <w:rFonts w:ascii="Palatino Linotype" w:hAnsi="Palatino Linotype" w:cs="Aldhabi"/>
          <w:b/>
          <w:bCs/>
          <w:sz w:val="24"/>
          <w:szCs w:val="24"/>
          <w:lang w:val="it-IT"/>
        </w:rPr>
        <w:t xml:space="preserve">CGUE 2014 - </w:t>
      </w:r>
      <w:r w:rsidR="00ED5556" w:rsidRPr="00B050DA">
        <w:rPr>
          <w:rFonts w:ascii="Palatino Linotype" w:hAnsi="Palatino Linotype" w:cs="Aldhabi"/>
          <w:b/>
          <w:bCs/>
          <w:sz w:val="24"/>
          <w:szCs w:val="24"/>
          <w:lang w:val="it-IT"/>
        </w:rPr>
        <w:t>C</w:t>
      </w:r>
      <w:r w:rsidRPr="00B050DA">
        <w:rPr>
          <w:rFonts w:ascii="Palatino Linotype" w:hAnsi="Palatino Linotype" w:cs="Aldhabi"/>
          <w:b/>
          <w:bCs/>
          <w:sz w:val="24"/>
          <w:szCs w:val="24"/>
          <w:lang w:val="it-IT"/>
        </w:rPr>
        <w:t xml:space="preserve">ausa C-131/12 </w:t>
      </w:r>
      <w:r w:rsidRPr="00B050DA">
        <w:rPr>
          <w:rFonts w:ascii="Palatino Linotype" w:hAnsi="Palatino Linotype" w:cs="Aldhabi"/>
          <w:b/>
          <w:bCs/>
          <w:i/>
          <w:iCs/>
          <w:sz w:val="24"/>
          <w:szCs w:val="24"/>
          <w:lang w:val="it-IT"/>
        </w:rPr>
        <w:t xml:space="preserve">Google </w:t>
      </w:r>
      <w:proofErr w:type="spellStart"/>
      <w:r w:rsidRPr="00B050DA">
        <w:rPr>
          <w:rFonts w:ascii="Palatino Linotype" w:hAnsi="Palatino Linotype" w:cs="Aldhabi"/>
          <w:b/>
          <w:bCs/>
          <w:i/>
          <w:iCs/>
          <w:sz w:val="24"/>
          <w:szCs w:val="24"/>
          <w:lang w:val="it-IT"/>
        </w:rPr>
        <w:t>Spain</w:t>
      </w:r>
      <w:proofErr w:type="spellEnd"/>
    </w:p>
    <w:p w14:paraId="348354A1" w14:textId="691F3378" w:rsidR="00F12115" w:rsidRDefault="005658ED" w:rsidP="00B050DA">
      <w:pPr>
        <w:jc w:val="both"/>
        <w:rPr>
          <w:rFonts w:ascii="Palatino Linotype" w:hAnsi="Palatino Linotype" w:cs="Aldhabi"/>
          <w:sz w:val="24"/>
          <w:szCs w:val="24"/>
          <w:lang w:val="it-IT"/>
        </w:rPr>
      </w:pPr>
      <w:r w:rsidRPr="00B050DA">
        <w:rPr>
          <w:rFonts w:ascii="Palatino Linotype" w:hAnsi="Palatino Linotype" w:cs="Aldhabi"/>
          <w:sz w:val="24"/>
          <w:szCs w:val="24"/>
          <w:lang w:val="it-IT"/>
        </w:rPr>
        <w:t xml:space="preserve">Dalla direttiva 95/46/CE si ricava il “diritto all’oblio” (oggi codificato nel regolamento 679/16, c.d. “GDPR”): </w:t>
      </w:r>
      <w:r w:rsidRPr="00B050DA">
        <w:rPr>
          <w:rFonts w:ascii="Palatino Linotype" w:hAnsi="Palatino Linotype" w:cs="Aldhabi"/>
          <w:sz w:val="24"/>
          <w:szCs w:val="24"/>
          <w:lang w:val="it-IT"/>
        </w:rPr>
        <w:t>il gestore di un motore di ricerca è obbligato a sopprimere, dall’elenco di risultati che appare a seguito di una ricerca effettuata a partire dal nome di una persona, dei link verso pagine web pubblicate da terzi e contenenti informazioni relative a questa persona, anche nel caso in cui tale nome o tali informazioni non vengano previamente o simultaneamente cancellati dalle pagine web di cui trattasi, e ciò eventualmente anche quando la loro pubblicazione su tali pagine web sia di per sé lecita</w:t>
      </w:r>
      <w:r w:rsidR="00B050DA">
        <w:rPr>
          <w:rFonts w:ascii="Palatino Linotype" w:hAnsi="Palatino Linotype" w:cs="Aldhabi"/>
          <w:sz w:val="24"/>
          <w:szCs w:val="24"/>
          <w:lang w:val="it-IT"/>
        </w:rPr>
        <w:t>.</w:t>
      </w:r>
      <w:r w:rsidRPr="00B050DA">
        <w:rPr>
          <w:rFonts w:ascii="Palatino Linotype" w:hAnsi="Palatino Linotype" w:cs="Aldhabi"/>
          <w:sz w:val="24"/>
          <w:szCs w:val="24"/>
          <w:lang w:val="it-IT"/>
        </w:rPr>
        <w:t xml:space="preserve"> </w:t>
      </w:r>
    </w:p>
    <w:p w14:paraId="6D0681AB" w14:textId="3880EF90" w:rsidR="00B050DA" w:rsidRDefault="00B050DA" w:rsidP="00B050DA">
      <w:pPr>
        <w:jc w:val="both"/>
        <w:rPr>
          <w:rFonts w:ascii="Palatino Linotype" w:hAnsi="Palatino Linotype" w:cs="Aldhabi"/>
          <w:sz w:val="24"/>
          <w:szCs w:val="24"/>
          <w:lang w:val="it-IT"/>
        </w:rPr>
      </w:pPr>
      <w:r>
        <w:rPr>
          <w:rFonts w:ascii="Palatino Linotype" w:hAnsi="Palatino Linotype" w:cs="Aldhabi"/>
          <w:sz w:val="24"/>
          <w:szCs w:val="24"/>
          <w:lang w:val="it-IT"/>
        </w:rPr>
        <w:t>I</w:t>
      </w:r>
      <w:r w:rsidRPr="00B050DA">
        <w:rPr>
          <w:rFonts w:ascii="Palatino Linotype" w:hAnsi="Palatino Linotype" w:cs="Aldhabi"/>
          <w:sz w:val="24"/>
          <w:szCs w:val="24"/>
          <w:lang w:val="it-IT"/>
        </w:rPr>
        <w:t xml:space="preserve"> diritti fondamentali </w:t>
      </w:r>
      <w:r>
        <w:rPr>
          <w:rFonts w:ascii="Palatino Linotype" w:hAnsi="Palatino Linotype" w:cs="Aldhabi"/>
          <w:sz w:val="24"/>
          <w:szCs w:val="24"/>
          <w:lang w:val="it-IT"/>
        </w:rPr>
        <w:t xml:space="preserve">sanciti dagli articoli 7 e 8 della Carta dei diritti fondamentali dell’Unione europea </w:t>
      </w:r>
      <w:r w:rsidRPr="00B050DA">
        <w:rPr>
          <w:rFonts w:ascii="Palatino Linotype" w:hAnsi="Palatino Linotype" w:cs="Aldhabi"/>
          <w:sz w:val="24"/>
          <w:szCs w:val="24"/>
          <w:lang w:val="it-IT"/>
        </w:rPr>
        <w:t xml:space="preserve">prevalgono, in linea di principio, non soltanto sull’interesse economico del gestore del motore di ricerca, ma anche sull’interesse </w:t>
      </w:r>
      <w:r>
        <w:rPr>
          <w:rFonts w:ascii="Palatino Linotype" w:hAnsi="Palatino Linotype" w:cs="Aldhabi"/>
          <w:sz w:val="24"/>
          <w:szCs w:val="24"/>
          <w:lang w:val="it-IT"/>
        </w:rPr>
        <w:t>del</w:t>
      </w:r>
      <w:r w:rsidRPr="00B050DA">
        <w:rPr>
          <w:rFonts w:ascii="Palatino Linotype" w:hAnsi="Palatino Linotype" w:cs="Aldhabi"/>
          <w:sz w:val="24"/>
          <w:szCs w:val="24"/>
          <w:lang w:val="it-IT"/>
        </w:rPr>
        <w:t xml:space="preserve"> pubblico ad accedere all’informazione suddetta in occasione di una ricerca concernente il nome di questa persona. Tuttavia, così non sarebbe qualora risultasse, per ragioni particolari, come il ruolo ricoperto da tale persona nella vita pubblica, che l’ingerenza nei suoi diritti fondamentali è giustificata dall’interesse preponderante del pubblico suddetto ad avere accesso, in virtù dell’inclusione </w:t>
      </w:r>
      <w:proofErr w:type="gramStart"/>
      <w:r w:rsidRPr="00B050DA">
        <w:rPr>
          <w:rFonts w:ascii="Palatino Linotype" w:hAnsi="Palatino Linotype" w:cs="Aldhabi"/>
          <w:sz w:val="24"/>
          <w:szCs w:val="24"/>
          <w:lang w:val="it-IT"/>
        </w:rPr>
        <w:t>summenzionata</w:t>
      </w:r>
      <w:proofErr w:type="gramEnd"/>
      <w:r w:rsidRPr="00B050DA">
        <w:rPr>
          <w:rFonts w:ascii="Palatino Linotype" w:hAnsi="Palatino Linotype" w:cs="Aldhabi"/>
          <w:sz w:val="24"/>
          <w:szCs w:val="24"/>
          <w:lang w:val="it-IT"/>
        </w:rPr>
        <w:t>, all’informazione di cui trattasi.</w:t>
      </w:r>
    </w:p>
    <w:p w14:paraId="751D4A41" w14:textId="77777777" w:rsidR="00B050DA" w:rsidRPr="00B050DA" w:rsidRDefault="00B050DA" w:rsidP="00B050DA">
      <w:pPr>
        <w:jc w:val="both"/>
        <w:rPr>
          <w:rFonts w:ascii="Palatino Linotype" w:hAnsi="Palatino Linotype" w:cs="Aldhabi"/>
          <w:sz w:val="24"/>
          <w:szCs w:val="24"/>
          <w:lang w:val="it-IT"/>
        </w:rPr>
      </w:pPr>
    </w:p>
    <w:p w14:paraId="6DDCA68B" w14:textId="7442034B" w:rsidR="00606DE5" w:rsidRPr="00B050DA" w:rsidRDefault="00ED5556" w:rsidP="00B050DA">
      <w:pPr>
        <w:pStyle w:val="Paragrafoelenco"/>
        <w:numPr>
          <w:ilvl w:val="0"/>
          <w:numId w:val="1"/>
        </w:numPr>
        <w:jc w:val="both"/>
        <w:rPr>
          <w:rFonts w:ascii="Palatino Linotype" w:hAnsi="Palatino Linotype" w:cs="Aldhabi"/>
          <w:b/>
          <w:bCs/>
          <w:sz w:val="24"/>
          <w:szCs w:val="24"/>
          <w:lang w:val="it-IT"/>
        </w:rPr>
      </w:pPr>
      <w:r w:rsidRPr="00B050DA">
        <w:rPr>
          <w:rFonts w:ascii="Palatino Linotype" w:hAnsi="Palatino Linotype" w:cs="Aldhabi"/>
          <w:b/>
          <w:bCs/>
          <w:sz w:val="24"/>
          <w:szCs w:val="24"/>
          <w:lang w:val="it-IT"/>
        </w:rPr>
        <w:t xml:space="preserve">CGUE </w:t>
      </w:r>
      <w:proofErr w:type="gramStart"/>
      <w:r w:rsidRPr="00B050DA">
        <w:rPr>
          <w:rFonts w:ascii="Palatino Linotype" w:hAnsi="Palatino Linotype" w:cs="Aldhabi"/>
          <w:b/>
          <w:bCs/>
          <w:sz w:val="24"/>
          <w:szCs w:val="24"/>
          <w:lang w:val="it-IT"/>
        </w:rPr>
        <w:t>2019  -</w:t>
      </w:r>
      <w:proofErr w:type="gramEnd"/>
      <w:r w:rsidRPr="00B050DA">
        <w:rPr>
          <w:rFonts w:ascii="Palatino Linotype" w:hAnsi="Palatino Linotype" w:cs="Aldhabi"/>
          <w:b/>
          <w:bCs/>
          <w:sz w:val="24"/>
          <w:szCs w:val="24"/>
          <w:lang w:val="it-IT"/>
        </w:rPr>
        <w:t xml:space="preserve"> Causa C-507/17 </w:t>
      </w:r>
      <w:r w:rsidRPr="00B050DA">
        <w:rPr>
          <w:rFonts w:ascii="Palatino Linotype" w:hAnsi="Palatino Linotype" w:cs="Aldhabi"/>
          <w:b/>
          <w:bCs/>
          <w:i/>
          <w:iCs/>
          <w:sz w:val="24"/>
          <w:szCs w:val="24"/>
          <w:lang w:val="it-IT"/>
        </w:rPr>
        <w:t>Google c. CNIL</w:t>
      </w:r>
    </w:p>
    <w:p w14:paraId="599A8E04" w14:textId="4C30CE57" w:rsidR="00F245F6" w:rsidRPr="00B050DA" w:rsidRDefault="00F245F6" w:rsidP="00B050DA">
      <w:pPr>
        <w:ind w:left="360"/>
        <w:jc w:val="both"/>
        <w:rPr>
          <w:rFonts w:ascii="Palatino Linotype" w:hAnsi="Palatino Linotype" w:cs="Aldhabi"/>
          <w:sz w:val="24"/>
          <w:szCs w:val="24"/>
          <w:u w:val="single"/>
          <w:lang w:val="it-IT"/>
        </w:rPr>
      </w:pPr>
      <w:r w:rsidRPr="00B050DA">
        <w:rPr>
          <w:rFonts w:ascii="Palatino Linotype" w:hAnsi="Palatino Linotype" w:cs="Aldhabi"/>
          <w:sz w:val="24"/>
          <w:szCs w:val="24"/>
          <w:u w:val="single"/>
          <w:lang w:val="it-IT"/>
        </w:rPr>
        <w:t>Portata territoriale del diritto all’oblio</w:t>
      </w:r>
      <w:r w:rsidRPr="00B050DA">
        <w:rPr>
          <w:rFonts w:ascii="Palatino Linotype" w:hAnsi="Palatino Linotype" w:cs="Aldhabi"/>
          <w:sz w:val="24"/>
          <w:szCs w:val="24"/>
          <w:u w:val="single"/>
          <w:lang w:val="it-IT"/>
        </w:rPr>
        <w:t>, in base alla direttiva 95/46/CE e al regolamento GDPR</w:t>
      </w:r>
    </w:p>
    <w:p w14:paraId="4B08C87D" w14:textId="1B157293" w:rsidR="00524C5B" w:rsidRPr="00B050DA" w:rsidRDefault="00F245F6" w:rsidP="00B050DA">
      <w:pPr>
        <w:ind w:left="360"/>
        <w:jc w:val="both"/>
        <w:rPr>
          <w:rFonts w:ascii="Palatino Linotype" w:hAnsi="Palatino Linotype" w:cs="Aldhabi"/>
          <w:sz w:val="24"/>
          <w:szCs w:val="24"/>
          <w:lang w:val="it-IT"/>
        </w:rPr>
      </w:pPr>
      <w:r w:rsidRPr="00B050DA">
        <w:rPr>
          <w:rFonts w:ascii="Palatino Linotype" w:hAnsi="Palatino Linotype" w:cs="Aldhabi"/>
          <w:sz w:val="24"/>
          <w:szCs w:val="24"/>
          <w:lang w:val="it-IT"/>
        </w:rPr>
        <w:t>I</w:t>
      </w:r>
      <w:r w:rsidR="00524C5B" w:rsidRPr="00B050DA">
        <w:rPr>
          <w:rFonts w:ascii="Palatino Linotype" w:hAnsi="Palatino Linotype" w:cs="Aldhabi"/>
          <w:sz w:val="24"/>
          <w:szCs w:val="24"/>
          <w:lang w:val="it-IT"/>
        </w:rPr>
        <w:t xml:space="preserve">l gestore di un motore di ricerca è tenuto a effettuare la deindicizzazione che gli sia stata richiesta </w:t>
      </w:r>
      <w:r w:rsidRPr="00B050DA">
        <w:rPr>
          <w:rFonts w:ascii="Palatino Linotype" w:hAnsi="Palatino Linotype" w:cs="Aldhabi"/>
          <w:sz w:val="24"/>
          <w:szCs w:val="24"/>
          <w:lang w:val="it-IT"/>
        </w:rPr>
        <w:t xml:space="preserve">non in tutte le versioni del suo motore, ma </w:t>
      </w:r>
      <w:r w:rsidR="00524C5B" w:rsidRPr="00B050DA">
        <w:rPr>
          <w:rFonts w:ascii="Palatino Linotype" w:hAnsi="Palatino Linotype" w:cs="Aldhabi"/>
          <w:sz w:val="24"/>
          <w:szCs w:val="24"/>
          <w:lang w:val="it-IT"/>
        </w:rPr>
        <w:t xml:space="preserve">nelle versioni nazionali </w:t>
      </w:r>
      <w:r w:rsidRPr="00B050DA">
        <w:rPr>
          <w:rFonts w:ascii="Palatino Linotype" w:hAnsi="Palatino Linotype" w:cs="Aldhabi"/>
          <w:sz w:val="24"/>
          <w:szCs w:val="24"/>
          <w:lang w:val="it-IT"/>
        </w:rPr>
        <w:t>degli Stati membri</w:t>
      </w:r>
      <w:r w:rsidR="00524C5B" w:rsidRPr="00B050DA">
        <w:rPr>
          <w:rFonts w:ascii="Palatino Linotype" w:hAnsi="Palatino Linotype" w:cs="Aldhabi"/>
          <w:sz w:val="24"/>
          <w:szCs w:val="24"/>
          <w:lang w:val="it-IT"/>
        </w:rPr>
        <w:t xml:space="preserve"> e, se necessario, in combinazione con misure che effettivamente impediscano agli utenti </w:t>
      </w:r>
      <w:r w:rsidRPr="00B050DA">
        <w:rPr>
          <w:rFonts w:ascii="Palatino Linotype" w:hAnsi="Palatino Linotype" w:cs="Aldhabi"/>
          <w:sz w:val="24"/>
          <w:szCs w:val="24"/>
          <w:lang w:val="it-IT"/>
        </w:rPr>
        <w:t xml:space="preserve">degli Stati membri </w:t>
      </w:r>
      <w:r w:rsidR="00524C5B" w:rsidRPr="00B050DA">
        <w:rPr>
          <w:rFonts w:ascii="Palatino Linotype" w:hAnsi="Palatino Linotype" w:cs="Aldhabi"/>
          <w:sz w:val="24"/>
          <w:szCs w:val="24"/>
          <w:lang w:val="it-IT"/>
        </w:rPr>
        <w:t xml:space="preserve">di visualizzare i risultati della ricerca a prescindere dalla versione nazionale del </w:t>
      </w:r>
      <w:proofErr w:type="gramStart"/>
      <w:r w:rsidR="00524C5B" w:rsidRPr="00B050DA">
        <w:rPr>
          <w:rFonts w:ascii="Palatino Linotype" w:hAnsi="Palatino Linotype" w:cs="Aldhabi"/>
          <w:sz w:val="24"/>
          <w:szCs w:val="24"/>
          <w:lang w:val="it-IT"/>
        </w:rPr>
        <w:t>motore  (</w:t>
      </w:r>
      <w:proofErr w:type="gramEnd"/>
      <w:r w:rsidR="00524C5B" w:rsidRPr="00B050DA">
        <w:rPr>
          <w:rFonts w:ascii="Palatino Linotype" w:hAnsi="Palatino Linotype" w:cs="Aldhabi"/>
          <w:sz w:val="24"/>
          <w:szCs w:val="24"/>
          <w:lang w:val="it-IT"/>
        </w:rPr>
        <w:t>c.d. blocco geografico)</w:t>
      </w:r>
      <w:r w:rsidR="00B050DA">
        <w:rPr>
          <w:rFonts w:ascii="Palatino Linotype" w:hAnsi="Palatino Linotype" w:cs="Aldhabi"/>
          <w:sz w:val="24"/>
          <w:szCs w:val="24"/>
          <w:lang w:val="it-IT"/>
        </w:rPr>
        <w:t>.</w:t>
      </w:r>
    </w:p>
    <w:p w14:paraId="23854730" w14:textId="77777777" w:rsidR="00524C5B" w:rsidRPr="00B050DA" w:rsidRDefault="00524C5B" w:rsidP="00B050DA">
      <w:pPr>
        <w:pStyle w:val="Paragrafoelenco"/>
        <w:jc w:val="both"/>
        <w:rPr>
          <w:rFonts w:ascii="Palatino Linotype" w:hAnsi="Palatino Linotype" w:cs="Aldhabi"/>
          <w:sz w:val="24"/>
          <w:szCs w:val="24"/>
          <w:lang w:val="it-IT"/>
        </w:rPr>
      </w:pPr>
    </w:p>
    <w:p w14:paraId="1EEF9B7B" w14:textId="434C24F7" w:rsidR="00ED5556" w:rsidRPr="00B050DA" w:rsidRDefault="00ED5556" w:rsidP="00B050DA">
      <w:pPr>
        <w:pStyle w:val="Paragrafoelenco"/>
        <w:numPr>
          <w:ilvl w:val="0"/>
          <w:numId w:val="1"/>
        </w:numPr>
        <w:jc w:val="both"/>
        <w:rPr>
          <w:rFonts w:ascii="Palatino Linotype" w:hAnsi="Palatino Linotype" w:cs="Aldhabi"/>
          <w:b/>
          <w:bCs/>
          <w:sz w:val="24"/>
          <w:szCs w:val="24"/>
          <w:lang w:val="it-IT"/>
        </w:rPr>
      </w:pPr>
      <w:r w:rsidRPr="00B050DA">
        <w:rPr>
          <w:rFonts w:ascii="Palatino Linotype" w:hAnsi="Palatino Linotype" w:cs="Aldhabi"/>
          <w:b/>
          <w:bCs/>
          <w:sz w:val="24"/>
          <w:szCs w:val="24"/>
          <w:lang w:val="it-IT"/>
        </w:rPr>
        <w:t>CGUE 2019 – Causa C-18</w:t>
      </w:r>
      <w:r w:rsidR="00F12115" w:rsidRPr="00B050DA">
        <w:rPr>
          <w:rFonts w:ascii="Palatino Linotype" w:hAnsi="Palatino Linotype" w:cs="Aldhabi"/>
          <w:b/>
          <w:bCs/>
          <w:sz w:val="24"/>
          <w:szCs w:val="24"/>
          <w:lang w:val="it-IT"/>
        </w:rPr>
        <w:t>/</w:t>
      </w:r>
      <w:r w:rsidRPr="00B050DA">
        <w:rPr>
          <w:rFonts w:ascii="Palatino Linotype" w:hAnsi="Palatino Linotype" w:cs="Aldhabi"/>
          <w:b/>
          <w:bCs/>
          <w:sz w:val="24"/>
          <w:szCs w:val="24"/>
          <w:lang w:val="it-IT"/>
        </w:rPr>
        <w:t>18</w:t>
      </w:r>
      <w:r w:rsidRPr="00B050DA">
        <w:rPr>
          <w:rFonts w:ascii="Palatino Linotype" w:hAnsi="Palatino Linotype" w:cs="Aldhabi"/>
          <w:b/>
          <w:bCs/>
          <w:i/>
          <w:iCs/>
          <w:sz w:val="24"/>
          <w:szCs w:val="24"/>
          <w:lang w:val="it-IT"/>
        </w:rPr>
        <w:t xml:space="preserve"> </w:t>
      </w:r>
      <w:r w:rsidR="00F245F6" w:rsidRPr="00B050DA">
        <w:rPr>
          <w:rFonts w:ascii="Palatino Linotype" w:hAnsi="Palatino Linotype" w:cs="Aldhabi"/>
          <w:b/>
          <w:bCs/>
          <w:i/>
          <w:iCs/>
          <w:sz w:val="24"/>
          <w:szCs w:val="24"/>
          <w:lang w:val="it-IT"/>
        </w:rPr>
        <w:t xml:space="preserve">Eva </w:t>
      </w:r>
      <w:proofErr w:type="spellStart"/>
      <w:r w:rsidR="00F245F6" w:rsidRPr="00B050DA">
        <w:rPr>
          <w:rFonts w:ascii="Palatino Linotype" w:hAnsi="Palatino Linotype" w:cs="Aldhabi"/>
          <w:b/>
          <w:bCs/>
          <w:i/>
          <w:iCs/>
          <w:sz w:val="24"/>
          <w:szCs w:val="24"/>
          <w:lang w:val="it-IT"/>
        </w:rPr>
        <w:t>Glawischnig</w:t>
      </w:r>
      <w:proofErr w:type="spellEnd"/>
      <w:r w:rsidR="00F245F6" w:rsidRPr="00B050DA">
        <w:rPr>
          <w:rFonts w:ascii="Palatino Linotype" w:hAnsi="Palatino Linotype" w:cs="Aldhabi"/>
          <w:b/>
          <w:bCs/>
          <w:i/>
          <w:iCs/>
          <w:sz w:val="24"/>
          <w:szCs w:val="24"/>
          <w:lang w:val="it-IT"/>
        </w:rPr>
        <w:t xml:space="preserve"> </w:t>
      </w:r>
      <w:proofErr w:type="spellStart"/>
      <w:r w:rsidR="00F245F6" w:rsidRPr="00B050DA">
        <w:rPr>
          <w:rFonts w:ascii="Palatino Linotype" w:hAnsi="Palatino Linotype" w:cs="Aldhabi"/>
          <w:b/>
          <w:bCs/>
          <w:i/>
          <w:iCs/>
          <w:sz w:val="24"/>
          <w:szCs w:val="24"/>
          <w:lang w:val="it-IT"/>
        </w:rPr>
        <w:t>Piesczek</w:t>
      </w:r>
      <w:proofErr w:type="spellEnd"/>
      <w:r w:rsidR="00F245F6" w:rsidRPr="00B050DA">
        <w:rPr>
          <w:rFonts w:ascii="Palatino Linotype" w:hAnsi="Palatino Linotype" w:cs="Aldhabi"/>
          <w:b/>
          <w:bCs/>
          <w:sz w:val="24"/>
          <w:szCs w:val="24"/>
          <w:lang w:val="it-IT"/>
        </w:rPr>
        <w:t xml:space="preserve"> c. </w:t>
      </w:r>
      <w:r w:rsidRPr="00B050DA">
        <w:rPr>
          <w:rFonts w:ascii="Palatino Linotype" w:hAnsi="Palatino Linotype" w:cs="Aldhabi"/>
          <w:b/>
          <w:bCs/>
          <w:i/>
          <w:iCs/>
          <w:sz w:val="24"/>
          <w:szCs w:val="24"/>
          <w:lang w:val="it-IT"/>
        </w:rPr>
        <w:t xml:space="preserve">Facebook </w:t>
      </w:r>
      <w:proofErr w:type="spellStart"/>
      <w:r w:rsidRPr="00B050DA">
        <w:rPr>
          <w:rFonts w:ascii="Palatino Linotype" w:hAnsi="Palatino Linotype" w:cs="Aldhabi"/>
          <w:b/>
          <w:bCs/>
          <w:i/>
          <w:iCs/>
          <w:sz w:val="24"/>
          <w:szCs w:val="24"/>
          <w:lang w:val="it-IT"/>
        </w:rPr>
        <w:t>Ireland</w:t>
      </w:r>
      <w:proofErr w:type="spellEnd"/>
      <w:r w:rsidRPr="00B050DA">
        <w:rPr>
          <w:rFonts w:ascii="Palatino Linotype" w:hAnsi="Palatino Linotype" w:cs="Aldhabi"/>
          <w:b/>
          <w:bCs/>
          <w:sz w:val="24"/>
          <w:szCs w:val="24"/>
          <w:lang w:val="it-IT"/>
        </w:rPr>
        <w:t xml:space="preserve"> </w:t>
      </w:r>
    </w:p>
    <w:p w14:paraId="5B32FFF4" w14:textId="00AE1EC4" w:rsidR="00F245F6" w:rsidRPr="00B050DA" w:rsidRDefault="005658ED" w:rsidP="00B050DA">
      <w:pPr>
        <w:pStyle w:val="Paragrafoelenco"/>
        <w:jc w:val="both"/>
        <w:rPr>
          <w:rFonts w:ascii="Palatino Linotype" w:hAnsi="Palatino Linotype" w:cs="Aldhabi"/>
          <w:sz w:val="24"/>
          <w:szCs w:val="24"/>
          <w:lang w:val="it-IT"/>
        </w:rPr>
      </w:pPr>
      <w:r w:rsidRPr="00B050DA">
        <w:rPr>
          <w:rFonts w:ascii="Palatino Linotype" w:hAnsi="Palatino Linotype" w:cs="Aldhabi"/>
          <w:sz w:val="24"/>
          <w:szCs w:val="24"/>
          <w:u w:val="single"/>
          <w:lang w:val="it-IT"/>
        </w:rPr>
        <w:t>Portata territoriale del diritto all’oblio, in base</w:t>
      </w:r>
      <w:r w:rsidR="00F245F6" w:rsidRPr="00B050DA">
        <w:rPr>
          <w:rFonts w:ascii="Palatino Linotype" w:hAnsi="Palatino Linotype" w:cs="Aldhabi"/>
          <w:sz w:val="24"/>
          <w:szCs w:val="24"/>
          <w:u w:val="single"/>
          <w:lang w:val="it-IT"/>
        </w:rPr>
        <w:t xml:space="preserve"> alla direttiva 2000/31/CE, sul commercio elettronico</w:t>
      </w:r>
      <w:r w:rsidR="00F245F6" w:rsidRPr="00B050DA">
        <w:rPr>
          <w:rFonts w:ascii="Palatino Linotype" w:hAnsi="Palatino Linotype" w:cs="Aldhabi"/>
          <w:sz w:val="24"/>
          <w:szCs w:val="24"/>
          <w:lang w:val="it-IT"/>
        </w:rPr>
        <w:t>.</w:t>
      </w:r>
    </w:p>
    <w:p w14:paraId="3EE1328E" w14:textId="6C94D7F1" w:rsidR="00F245F6" w:rsidRPr="00B050DA" w:rsidRDefault="00F245F6" w:rsidP="00B050DA">
      <w:pPr>
        <w:pStyle w:val="Paragrafoelenco"/>
        <w:jc w:val="both"/>
        <w:rPr>
          <w:rFonts w:ascii="Palatino Linotype" w:hAnsi="Palatino Linotype" w:cs="Aldhabi"/>
          <w:sz w:val="24"/>
          <w:szCs w:val="24"/>
          <w:lang w:val="it-IT"/>
        </w:rPr>
      </w:pPr>
      <w:r w:rsidRPr="00B050DA">
        <w:rPr>
          <w:rFonts w:ascii="Palatino Linotype" w:hAnsi="Palatino Linotype" w:cs="Aldhabi"/>
          <w:sz w:val="24"/>
          <w:szCs w:val="24"/>
          <w:lang w:val="it-IT"/>
        </w:rPr>
        <w:t xml:space="preserve">Il giudice di uno Stato membro può ordinare </w:t>
      </w:r>
      <w:r w:rsidRPr="00B050DA">
        <w:rPr>
          <w:rFonts w:ascii="Palatino Linotype" w:hAnsi="Palatino Linotype" w:cs="Aldhabi"/>
          <w:sz w:val="24"/>
          <w:szCs w:val="24"/>
          <w:lang w:val="it-IT"/>
        </w:rPr>
        <w:t xml:space="preserve">a un prestatore di servizi di </w:t>
      </w:r>
      <w:r w:rsidRPr="00B050DA">
        <w:rPr>
          <w:rFonts w:ascii="Palatino Linotype" w:hAnsi="Palatino Linotype" w:cs="Aldhabi"/>
          <w:i/>
          <w:iCs/>
          <w:sz w:val="24"/>
          <w:szCs w:val="24"/>
          <w:lang w:val="it-IT"/>
        </w:rPr>
        <w:t>hosting</w:t>
      </w:r>
      <w:r w:rsidRPr="00B050DA">
        <w:rPr>
          <w:rFonts w:ascii="Palatino Linotype" w:hAnsi="Palatino Linotype" w:cs="Aldhabi"/>
          <w:sz w:val="24"/>
          <w:szCs w:val="24"/>
          <w:lang w:val="it-IT"/>
        </w:rPr>
        <w:t xml:space="preserve"> di rimuovere le informazioni da esso memorizzate e il cui contenuto sia identico a quello di un’informazione precedentemente dichiarata illecita</w:t>
      </w:r>
      <w:r w:rsidRPr="00B050DA">
        <w:rPr>
          <w:rFonts w:ascii="Palatino Linotype" w:hAnsi="Palatino Linotype" w:cs="Aldhabi"/>
          <w:sz w:val="24"/>
          <w:szCs w:val="24"/>
          <w:lang w:val="it-IT"/>
        </w:rPr>
        <w:t>,</w:t>
      </w:r>
      <w:r w:rsidRPr="00B050DA">
        <w:rPr>
          <w:rFonts w:ascii="Palatino Linotype" w:hAnsi="Palatino Linotype" w:cs="Aldhabi"/>
          <w:sz w:val="24"/>
          <w:szCs w:val="24"/>
          <w:lang w:val="it-IT"/>
        </w:rPr>
        <w:t xml:space="preserve"> o di</w:t>
      </w:r>
      <w:r w:rsidRPr="00B050DA">
        <w:rPr>
          <w:rFonts w:ascii="Palatino Linotype" w:hAnsi="Palatino Linotype" w:cs="Aldhabi"/>
          <w:sz w:val="24"/>
          <w:szCs w:val="24"/>
          <w:lang w:val="it-IT"/>
        </w:rPr>
        <w:t xml:space="preserve"> </w:t>
      </w:r>
      <w:r w:rsidRPr="00B050DA">
        <w:rPr>
          <w:rFonts w:ascii="Palatino Linotype" w:hAnsi="Palatino Linotype" w:cs="Aldhabi"/>
          <w:sz w:val="24"/>
          <w:szCs w:val="24"/>
          <w:lang w:val="it-IT"/>
        </w:rPr>
        <w:t>bloccare l’accesso alle medesime</w:t>
      </w:r>
      <w:r w:rsidRPr="00B050DA">
        <w:rPr>
          <w:rFonts w:ascii="Palatino Linotype" w:hAnsi="Palatino Linotype" w:cs="Aldhabi"/>
          <w:sz w:val="24"/>
          <w:szCs w:val="24"/>
          <w:lang w:val="it-IT"/>
        </w:rPr>
        <w:t>, a livello mondiale.</w:t>
      </w:r>
    </w:p>
    <w:p w14:paraId="12CED58F" w14:textId="708E4BE2" w:rsidR="00ED5556" w:rsidRPr="00B050DA" w:rsidRDefault="00ED5556" w:rsidP="00B050DA">
      <w:pPr>
        <w:ind w:left="360"/>
        <w:jc w:val="both"/>
        <w:rPr>
          <w:rFonts w:ascii="Palatino Linotype" w:hAnsi="Palatino Linotype" w:cs="Aldhabi"/>
          <w:sz w:val="24"/>
          <w:szCs w:val="24"/>
          <w:lang w:val="it-IT"/>
        </w:rPr>
      </w:pPr>
    </w:p>
    <w:p w14:paraId="77C508DA" w14:textId="77777777" w:rsidR="00ED5556" w:rsidRDefault="00ED5556" w:rsidP="00B050DA">
      <w:pPr>
        <w:pStyle w:val="Paragrafoelenco"/>
        <w:jc w:val="both"/>
        <w:rPr>
          <w:rFonts w:ascii="Palatino Linotype" w:hAnsi="Palatino Linotype" w:cs="Aldhabi"/>
          <w:sz w:val="32"/>
          <w:szCs w:val="32"/>
          <w:lang w:val="it-IT"/>
        </w:rPr>
      </w:pPr>
    </w:p>
    <w:p w14:paraId="37D382B5" w14:textId="5E6EA4DC" w:rsidR="00ED5556" w:rsidRPr="005658ED" w:rsidRDefault="00ED5556" w:rsidP="00B050DA">
      <w:pPr>
        <w:pStyle w:val="Paragrafoelenco"/>
        <w:jc w:val="both"/>
        <w:rPr>
          <w:rFonts w:ascii="Palatino Linotype" w:hAnsi="Palatino Linotype" w:cs="Aldhabi"/>
          <w:sz w:val="32"/>
          <w:szCs w:val="32"/>
          <w:u w:val="single"/>
          <w:lang w:val="it-IT"/>
        </w:rPr>
      </w:pPr>
      <w:r w:rsidRPr="005658ED">
        <w:rPr>
          <w:rFonts w:ascii="Palatino Linotype" w:hAnsi="Palatino Linotype" w:cs="Aldhabi"/>
          <w:sz w:val="32"/>
          <w:szCs w:val="32"/>
          <w:u w:val="single"/>
          <w:lang w:val="it-IT"/>
        </w:rPr>
        <w:t>INOLTRE</w:t>
      </w:r>
      <w:r w:rsidR="005658ED" w:rsidRPr="005658ED">
        <w:rPr>
          <w:rFonts w:ascii="Palatino Linotype" w:hAnsi="Palatino Linotype" w:cs="Aldhabi"/>
          <w:sz w:val="32"/>
          <w:szCs w:val="32"/>
          <w:u w:val="single"/>
          <w:lang w:val="it-IT"/>
        </w:rPr>
        <w:t>, sul trasferimento dei dati personali verso Stati extra UE (in particolare negli USA, dove hanno sede le principali società “di Internet”)</w:t>
      </w:r>
      <w:r w:rsidRPr="005658ED">
        <w:rPr>
          <w:rFonts w:ascii="Palatino Linotype" w:hAnsi="Palatino Linotype" w:cs="Aldhabi"/>
          <w:sz w:val="32"/>
          <w:szCs w:val="32"/>
          <w:u w:val="single"/>
          <w:lang w:val="it-IT"/>
        </w:rPr>
        <w:t xml:space="preserve">: </w:t>
      </w:r>
    </w:p>
    <w:p w14:paraId="7AAD5A24" w14:textId="77777777" w:rsidR="005658ED" w:rsidRDefault="005658ED" w:rsidP="00B050DA">
      <w:pPr>
        <w:pStyle w:val="Paragrafoelenco"/>
        <w:ind w:left="1080"/>
        <w:jc w:val="both"/>
        <w:rPr>
          <w:rFonts w:ascii="Palatino Linotype" w:hAnsi="Palatino Linotype" w:cs="Aldhabi"/>
          <w:sz w:val="32"/>
          <w:szCs w:val="32"/>
          <w:lang w:val="it-IT"/>
        </w:rPr>
      </w:pPr>
    </w:p>
    <w:p w14:paraId="5584B5F4" w14:textId="55B77917" w:rsidR="00ED5556" w:rsidRPr="005658ED" w:rsidRDefault="00ED5556" w:rsidP="00B050DA">
      <w:pPr>
        <w:pStyle w:val="Paragrafoelenco"/>
        <w:numPr>
          <w:ilvl w:val="0"/>
          <w:numId w:val="2"/>
        </w:numPr>
        <w:jc w:val="both"/>
        <w:rPr>
          <w:rFonts w:ascii="Palatino Linotype" w:hAnsi="Palatino Linotype" w:cs="Aldhabi"/>
          <w:b/>
          <w:bCs/>
          <w:sz w:val="24"/>
          <w:szCs w:val="24"/>
          <w:lang w:val="it-IT"/>
        </w:rPr>
      </w:pPr>
      <w:r w:rsidRPr="005658ED">
        <w:rPr>
          <w:rFonts w:ascii="Palatino Linotype" w:hAnsi="Palatino Linotype" w:cs="Aldhabi"/>
          <w:b/>
          <w:bCs/>
          <w:sz w:val="24"/>
          <w:szCs w:val="24"/>
          <w:lang w:val="it-IT"/>
        </w:rPr>
        <w:t xml:space="preserve">CGUE 2015 – Causa C-362/14 </w:t>
      </w:r>
      <w:proofErr w:type="spellStart"/>
      <w:r w:rsidRPr="005658ED">
        <w:rPr>
          <w:rFonts w:ascii="Palatino Linotype" w:hAnsi="Palatino Linotype" w:cs="Aldhabi"/>
          <w:b/>
          <w:bCs/>
          <w:i/>
          <w:iCs/>
          <w:sz w:val="24"/>
          <w:szCs w:val="24"/>
          <w:lang w:val="it-IT"/>
        </w:rPr>
        <w:t>Schrems</w:t>
      </w:r>
      <w:proofErr w:type="spellEnd"/>
      <w:r w:rsidRPr="005658ED">
        <w:rPr>
          <w:rFonts w:ascii="Palatino Linotype" w:hAnsi="Palatino Linotype" w:cs="Aldhabi"/>
          <w:b/>
          <w:bCs/>
          <w:i/>
          <w:iCs/>
          <w:sz w:val="24"/>
          <w:szCs w:val="24"/>
          <w:lang w:val="it-IT"/>
        </w:rPr>
        <w:t xml:space="preserve"> I</w:t>
      </w:r>
    </w:p>
    <w:p w14:paraId="7A6E4D31" w14:textId="015B4D07" w:rsidR="00ED5556" w:rsidRPr="005658ED" w:rsidRDefault="00ED5556" w:rsidP="00B050DA">
      <w:pPr>
        <w:pStyle w:val="Paragrafoelenco"/>
        <w:jc w:val="both"/>
        <w:rPr>
          <w:rFonts w:ascii="Palatino Linotype" w:hAnsi="Palatino Linotype" w:cs="Aldhabi"/>
          <w:sz w:val="24"/>
          <w:szCs w:val="24"/>
          <w:lang w:val="it-IT"/>
        </w:rPr>
      </w:pPr>
      <w:r w:rsidRPr="005658ED">
        <w:rPr>
          <w:rFonts w:ascii="Palatino Linotype" w:hAnsi="Palatino Linotype" w:cs="Aldhabi"/>
          <w:sz w:val="24"/>
          <w:szCs w:val="24"/>
          <w:lang w:val="it-IT"/>
        </w:rPr>
        <w:t xml:space="preserve">È invalida la </w:t>
      </w:r>
      <w:r w:rsidRPr="005658ED">
        <w:rPr>
          <w:rFonts w:ascii="Palatino Linotype" w:hAnsi="Palatino Linotype" w:cs="Aldhabi"/>
          <w:sz w:val="24"/>
          <w:szCs w:val="24"/>
          <w:lang w:val="it-IT"/>
        </w:rPr>
        <w:t xml:space="preserve">decisione 2000/520/CE </w:t>
      </w:r>
      <w:r w:rsidR="00324C29" w:rsidRPr="005658ED">
        <w:rPr>
          <w:rFonts w:ascii="Palatino Linotype" w:hAnsi="Palatino Linotype" w:cs="Aldhabi"/>
          <w:sz w:val="24"/>
          <w:szCs w:val="24"/>
          <w:lang w:val="it-IT"/>
        </w:rPr>
        <w:t xml:space="preserve">(adottata sulla base della direttiva 95/46/CE) </w:t>
      </w:r>
      <w:r w:rsidRPr="005658ED">
        <w:rPr>
          <w:rFonts w:ascii="Palatino Linotype" w:hAnsi="Palatino Linotype" w:cs="Aldhabi"/>
          <w:sz w:val="24"/>
          <w:szCs w:val="24"/>
          <w:lang w:val="it-IT"/>
        </w:rPr>
        <w:t xml:space="preserve">con cui la Commissione UE aveva </w:t>
      </w:r>
      <w:r w:rsidR="00324C29" w:rsidRPr="005658ED">
        <w:rPr>
          <w:rFonts w:ascii="Palatino Linotype" w:hAnsi="Palatino Linotype" w:cs="Aldhabi"/>
          <w:sz w:val="24"/>
          <w:szCs w:val="24"/>
          <w:lang w:val="it-IT"/>
        </w:rPr>
        <w:t>approvato l’accordo con USA denominato “</w:t>
      </w:r>
      <w:proofErr w:type="spellStart"/>
      <w:r w:rsidR="00324C29" w:rsidRPr="005658ED">
        <w:rPr>
          <w:rFonts w:ascii="Palatino Linotype" w:hAnsi="Palatino Linotype" w:cs="Aldhabi"/>
          <w:sz w:val="24"/>
          <w:szCs w:val="24"/>
          <w:lang w:val="it-IT"/>
        </w:rPr>
        <w:t>Safe</w:t>
      </w:r>
      <w:proofErr w:type="spellEnd"/>
      <w:r w:rsidR="00324C29" w:rsidRPr="005658ED">
        <w:rPr>
          <w:rFonts w:ascii="Palatino Linotype" w:hAnsi="Palatino Linotype" w:cs="Aldhabi"/>
          <w:sz w:val="24"/>
          <w:szCs w:val="24"/>
          <w:lang w:val="it-IT"/>
        </w:rPr>
        <w:t xml:space="preserve"> Harbor”, così </w:t>
      </w:r>
      <w:r w:rsidRPr="005658ED">
        <w:rPr>
          <w:rFonts w:ascii="Palatino Linotype" w:hAnsi="Palatino Linotype" w:cs="Aldhabi"/>
          <w:sz w:val="24"/>
          <w:szCs w:val="24"/>
          <w:lang w:val="it-IT"/>
        </w:rPr>
        <w:t>giudica</w:t>
      </w:r>
      <w:r w:rsidR="00324C29" w:rsidRPr="005658ED">
        <w:rPr>
          <w:rFonts w:ascii="Palatino Linotype" w:hAnsi="Palatino Linotype" w:cs="Aldhabi"/>
          <w:sz w:val="24"/>
          <w:szCs w:val="24"/>
          <w:lang w:val="it-IT"/>
        </w:rPr>
        <w:t>ndo</w:t>
      </w:r>
      <w:r w:rsidRPr="005658ED">
        <w:rPr>
          <w:rFonts w:ascii="Palatino Linotype" w:hAnsi="Palatino Linotype" w:cs="Aldhabi"/>
          <w:sz w:val="24"/>
          <w:szCs w:val="24"/>
          <w:lang w:val="it-IT"/>
        </w:rPr>
        <w:t xml:space="preserve"> adeguato il livello di</w:t>
      </w:r>
      <w:r w:rsidRPr="005658ED">
        <w:rPr>
          <w:rFonts w:ascii="Palatino Linotype" w:hAnsi="Palatino Linotype" w:cs="Aldhabi"/>
          <w:sz w:val="24"/>
          <w:szCs w:val="24"/>
          <w:lang w:val="it-IT"/>
        </w:rPr>
        <w:t xml:space="preserve"> </w:t>
      </w:r>
      <w:r w:rsidRPr="005658ED">
        <w:rPr>
          <w:rFonts w:ascii="Palatino Linotype" w:hAnsi="Palatino Linotype" w:cs="Aldhabi"/>
          <w:sz w:val="24"/>
          <w:szCs w:val="24"/>
          <w:lang w:val="it-IT"/>
        </w:rPr>
        <w:t xml:space="preserve">protezione </w:t>
      </w:r>
      <w:r w:rsidRPr="005658ED">
        <w:rPr>
          <w:rFonts w:ascii="Palatino Linotype" w:hAnsi="Palatino Linotype" w:cs="Aldhabi"/>
          <w:sz w:val="24"/>
          <w:szCs w:val="24"/>
          <w:lang w:val="it-IT"/>
        </w:rPr>
        <w:t xml:space="preserve">dei dati personali </w:t>
      </w:r>
      <w:r w:rsidRPr="005658ED">
        <w:rPr>
          <w:rFonts w:ascii="Palatino Linotype" w:hAnsi="Palatino Linotype" w:cs="Aldhabi"/>
          <w:sz w:val="24"/>
          <w:szCs w:val="24"/>
          <w:lang w:val="it-IT"/>
        </w:rPr>
        <w:t>assicurato dai</w:t>
      </w:r>
      <w:r w:rsidRPr="005658ED">
        <w:rPr>
          <w:rFonts w:ascii="Palatino Linotype" w:hAnsi="Palatino Linotype" w:cs="Aldhabi"/>
          <w:sz w:val="24"/>
          <w:szCs w:val="24"/>
          <w:lang w:val="it-IT"/>
        </w:rPr>
        <w:t xml:space="preserve"> </w:t>
      </w:r>
      <w:proofErr w:type="spellStart"/>
      <w:r w:rsidRPr="005658ED">
        <w:rPr>
          <w:rFonts w:ascii="Palatino Linotype" w:hAnsi="Palatino Linotype" w:cs="Aldhabi"/>
          <w:i/>
          <w:iCs/>
          <w:sz w:val="24"/>
          <w:szCs w:val="24"/>
          <w:lang w:val="it-IT"/>
        </w:rPr>
        <w:t>Safe</w:t>
      </w:r>
      <w:proofErr w:type="spellEnd"/>
      <w:r w:rsidRPr="005658ED">
        <w:rPr>
          <w:rFonts w:ascii="Palatino Linotype" w:hAnsi="Palatino Linotype" w:cs="Aldhabi"/>
          <w:i/>
          <w:iCs/>
          <w:sz w:val="24"/>
          <w:szCs w:val="24"/>
          <w:lang w:val="it-IT"/>
        </w:rPr>
        <w:t xml:space="preserve"> Harbor Privacy </w:t>
      </w:r>
      <w:proofErr w:type="spellStart"/>
      <w:r w:rsidRPr="005658ED">
        <w:rPr>
          <w:rFonts w:ascii="Palatino Linotype" w:hAnsi="Palatino Linotype" w:cs="Aldhabi"/>
          <w:i/>
          <w:iCs/>
          <w:sz w:val="24"/>
          <w:szCs w:val="24"/>
          <w:lang w:val="it-IT"/>
        </w:rPr>
        <w:t>Principles</w:t>
      </w:r>
      <w:proofErr w:type="spellEnd"/>
      <w:r w:rsidRPr="005658ED">
        <w:rPr>
          <w:rFonts w:ascii="Palatino Linotype" w:hAnsi="Palatino Linotype" w:cs="Aldhabi"/>
          <w:sz w:val="24"/>
          <w:szCs w:val="24"/>
          <w:lang w:val="it-IT"/>
        </w:rPr>
        <w:t xml:space="preserve"> </w:t>
      </w:r>
      <w:r w:rsidRPr="005658ED">
        <w:rPr>
          <w:rFonts w:ascii="Calibri" w:hAnsi="Calibri" w:cs="Calibri"/>
          <w:sz w:val="24"/>
          <w:szCs w:val="24"/>
          <w:lang w:val="it-IT"/>
        </w:rPr>
        <w:t>→</w:t>
      </w:r>
      <w:r w:rsidRPr="005658ED">
        <w:rPr>
          <w:rFonts w:ascii="Palatino Linotype" w:hAnsi="Palatino Linotype" w:cs="Aldhabi"/>
          <w:sz w:val="24"/>
          <w:szCs w:val="24"/>
          <w:lang w:val="it-IT"/>
        </w:rPr>
        <w:t xml:space="preserve"> autorizzato il trasferimento negli USA dei dati personali degli utenti UE</w:t>
      </w:r>
    </w:p>
    <w:p w14:paraId="4B0D35D5" w14:textId="77777777" w:rsidR="00C83D54" w:rsidRPr="005658ED" w:rsidRDefault="00ED5556" w:rsidP="00B050DA">
      <w:pPr>
        <w:spacing w:after="0"/>
        <w:jc w:val="both"/>
        <w:rPr>
          <w:rFonts w:ascii="Palatino Linotype" w:hAnsi="Palatino Linotype" w:cs="Aldhabi"/>
          <w:color w:val="0070C0"/>
          <w:sz w:val="24"/>
          <w:szCs w:val="24"/>
          <w:lang w:val="it-IT"/>
        </w:rPr>
      </w:pPr>
      <w:r w:rsidRPr="005658ED">
        <w:rPr>
          <w:rFonts w:ascii="Palatino Linotype" w:hAnsi="Palatino Linotype" w:cs="Aldhabi"/>
          <w:color w:val="0070C0"/>
          <w:sz w:val="24"/>
          <w:szCs w:val="24"/>
          <w:lang w:val="it-IT"/>
        </w:rPr>
        <w:t xml:space="preserve">In seguito a questa sentenza, </w:t>
      </w:r>
      <w:r w:rsidRPr="005658ED">
        <w:rPr>
          <w:rFonts w:ascii="Palatino Linotype" w:hAnsi="Palatino Linotype" w:cs="Aldhabi"/>
          <w:color w:val="0070C0"/>
          <w:sz w:val="24"/>
          <w:szCs w:val="24"/>
          <w:lang w:val="it-IT"/>
        </w:rPr>
        <w:t>la Commissione U</w:t>
      </w:r>
      <w:r w:rsidR="00324C29" w:rsidRPr="005658ED">
        <w:rPr>
          <w:rFonts w:ascii="Palatino Linotype" w:hAnsi="Palatino Linotype" w:cs="Aldhabi"/>
          <w:color w:val="0070C0"/>
          <w:sz w:val="24"/>
          <w:szCs w:val="24"/>
          <w:lang w:val="it-IT"/>
        </w:rPr>
        <w:t>E</w:t>
      </w:r>
      <w:r w:rsidRPr="005658ED">
        <w:rPr>
          <w:rFonts w:ascii="Palatino Linotype" w:hAnsi="Palatino Linotype" w:cs="Aldhabi"/>
          <w:color w:val="0070C0"/>
          <w:sz w:val="24"/>
          <w:szCs w:val="24"/>
          <w:lang w:val="it-IT"/>
        </w:rPr>
        <w:t xml:space="preserve"> e il Dipartimento del Commercio degli USA </w:t>
      </w:r>
      <w:r w:rsidR="00324C29" w:rsidRPr="005658ED">
        <w:rPr>
          <w:rFonts w:ascii="Palatino Linotype" w:hAnsi="Palatino Linotype" w:cs="Aldhabi"/>
          <w:color w:val="0070C0"/>
          <w:sz w:val="24"/>
          <w:szCs w:val="24"/>
          <w:lang w:val="it-IT"/>
        </w:rPr>
        <w:t xml:space="preserve">stipulano </w:t>
      </w:r>
      <w:r w:rsidRPr="005658ED">
        <w:rPr>
          <w:rFonts w:ascii="Palatino Linotype" w:hAnsi="Palatino Linotype" w:cs="Aldhabi"/>
          <w:color w:val="0070C0"/>
          <w:sz w:val="24"/>
          <w:szCs w:val="24"/>
          <w:lang w:val="it-IT"/>
        </w:rPr>
        <w:t xml:space="preserve">un </w:t>
      </w:r>
      <w:r w:rsidR="00324C29" w:rsidRPr="005658ED">
        <w:rPr>
          <w:rFonts w:ascii="Palatino Linotype" w:hAnsi="Palatino Linotype" w:cs="Aldhabi"/>
          <w:color w:val="0070C0"/>
          <w:sz w:val="24"/>
          <w:szCs w:val="24"/>
          <w:lang w:val="it-IT"/>
        </w:rPr>
        <w:t xml:space="preserve">nuovo </w:t>
      </w:r>
      <w:r w:rsidRPr="005658ED">
        <w:rPr>
          <w:rFonts w:ascii="Palatino Linotype" w:hAnsi="Palatino Linotype" w:cs="Aldhabi"/>
          <w:color w:val="0070C0"/>
          <w:sz w:val="24"/>
          <w:szCs w:val="24"/>
          <w:lang w:val="it-IT"/>
        </w:rPr>
        <w:t>accordo</w:t>
      </w:r>
      <w:r w:rsidR="00324C29" w:rsidRPr="005658ED">
        <w:rPr>
          <w:rFonts w:ascii="Palatino Linotype" w:hAnsi="Palatino Linotype" w:cs="Aldhabi"/>
          <w:color w:val="0070C0"/>
          <w:sz w:val="24"/>
          <w:szCs w:val="24"/>
          <w:lang w:val="it-IT"/>
        </w:rPr>
        <w:t>,</w:t>
      </w:r>
      <w:r w:rsidRPr="005658ED">
        <w:rPr>
          <w:rFonts w:ascii="Palatino Linotype" w:hAnsi="Palatino Linotype" w:cs="Aldhabi"/>
          <w:color w:val="0070C0"/>
          <w:sz w:val="24"/>
          <w:szCs w:val="24"/>
          <w:lang w:val="it-IT"/>
        </w:rPr>
        <w:t xml:space="preserve"> denominato </w:t>
      </w:r>
      <w:r w:rsidR="00324C29" w:rsidRPr="005658ED">
        <w:rPr>
          <w:rFonts w:ascii="Palatino Linotype" w:hAnsi="Palatino Linotype" w:cs="Aldhabi"/>
          <w:color w:val="0070C0"/>
          <w:sz w:val="24"/>
          <w:szCs w:val="24"/>
          <w:lang w:val="it-IT"/>
        </w:rPr>
        <w:t>“</w:t>
      </w:r>
      <w:r w:rsidRPr="005658ED">
        <w:rPr>
          <w:rFonts w:ascii="Palatino Linotype" w:hAnsi="Palatino Linotype" w:cs="Aldhabi"/>
          <w:color w:val="0070C0"/>
          <w:sz w:val="24"/>
          <w:szCs w:val="24"/>
          <w:lang w:val="it-IT"/>
        </w:rPr>
        <w:t>Privacy Shield”</w:t>
      </w:r>
      <w:r w:rsidR="00324C29" w:rsidRPr="005658ED">
        <w:rPr>
          <w:rFonts w:ascii="Palatino Linotype" w:hAnsi="Palatino Linotype" w:cs="Aldhabi"/>
          <w:color w:val="0070C0"/>
          <w:sz w:val="24"/>
          <w:szCs w:val="24"/>
          <w:lang w:val="it-IT"/>
        </w:rPr>
        <w:t>, allo scopo di</w:t>
      </w:r>
      <w:r w:rsidRPr="005658ED">
        <w:rPr>
          <w:rFonts w:ascii="Palatino Linotype" w:hAnsi="Palatino Linotype" w:cs="Aldhabi"/>
          <w:color w:val="0070C0"/>
          <w:sz w:val="24"/>
          <w:szCs w:val="24"/>
          <w:lang w:val="it-IT"/>
        </w:rPr>
        <w:t xml:space="preserve"> risolvere i problemi di inadeguatezza sollevati dalla </w:t>
      </w:r>
      <w:r w:rsidR="00324C29" w:rsidRPr="005658ED">
        <w:rPr>
          <w:rFonts w:ascii="Palatino Linotype" w:hAnsi="Palatino Linotype" w:cs="Aldhabi"/>
          <w:color w:val="0070C0"/>
          <w:sz w:val="24"/>
          <w:szCs w:val="24"/>
          <w:lang w:val="it-IT"/>
        </w:rPr>
        <w:t>CGUE</w:t>
      </w:r>
      <w:r w:rsidRPr="005658ED">
        <w:rPr>
          <w:rFonts w:ascii="Palatino Linotype" w:hAnsi="Palatino Linotype" w:cs="Aldhabi"/>
          <w:color w:val="0070C0"/>
          <w:sz w:val="24"/>
          <w:szCs w:val="24"/>
          <w:lang w:val="it-IT"/>
        </w:rPr>
        <w:t xml:space="preserve"> relativamente al</w:t>
      </w:r>
      <w:r w:rsidR="00324C29" w:rsidRPr="005658ED">
        <w:rPr>
          <w:rFonts w:ascii="Palatino Linotype" w:hAnsi="Palatino Linotype" w:cs="Aldhabi"/>
          <w:color w:val="0070C0"/>
          <w:sz w:val="24"/>
          <w:szCs w:val="24"/>
          <w:lang w:val="it-IT"/>
        </w:rPr>
        <w:t xml:space="preserve"> “</w:t>
      </w:r>
      <w:proofErr w:type="spellStart"/>
      <w:r w:rsidRPr="005658ED">
        <w:rPr>
          <w:rFonts w:ascii="Palatino Linotype" w:hAnsi="Palatino Linotype" w:cs="Aldhabi"/>
          <w:color w:val="0070C0"/>
          <w:sz w:val="24"/>
          <w:szCs w:val="24"/>
          <w:lang w:val="it-IT"/>
        </w:rPr>
        <w:t>Safe</w:t>
      </w:r>
      <w:proofErr w:type="spellEnd"/>
      <w:r w:rsidRPr="005658ED">
        <w:rPr>
          <w:rFonts w:ascii="Palatino Linotype" w:hAnsi="Palatino Linotype" w:cs="Aldhabi"/>
          <w:color w:val="0070C0"/>
          <w:sz w:val="24"/>
          <w:szCs w:val="24"/>
          <w:lang w:val="it-IT"/>
        </w:rPr>
        <w:t xml:space="preserve"> Harbor</w:t>
      </w:r>
      <w:r w:rsidR="00324C29" w:rsidRPr="005658ED">
        <w:rPr>
          <w:rFonts w:ascii="Palatino Linotype" w:hAnsi="Palatino Linotype" w:cs="Aldhabi"/>
          <w:color w:val="0070C0"/>
          <w:sz w:val="24"/>
          <w:szCs w:val="24"/>
          <w:lang w:val="it-IT"/>
        </w:rPr>
        <w:t xml:space="preserve">”. </w:t>
      </w:r>
      <w:r w:rsidRPr="005658ED">
        <w:rPr>
          <w:rFonts w:ascii="Palatino Linotype" w:hAnsi="Palatino Linotype" w:cs="Aldhabi"/>
          <w:color w:val="0070C0"/>
          <w:sz w:val="24"/>
          <w:szCs w:val="24"/>
          <w:lang w:val="it-IT"/>
        </w:rPr>
        <w:t>Il</w:t>
      </w:r>
      <w:r w:rsidR="00324C29" w:rsidRPr="005658ED">
        <w:rPr>
          <w:rFonts w:ascii="Palatino Linotype" w:hAnsi="Palatino Linotype" w:cs="Aldhabi"/>
          <w:color w:val="0070C0"/>
          <w:sz w:val="24"/>
          <w:szCs w:val="24"/>
          <w:lang w:val="it-IT"/>
        </w:rPr>
        <w:t xml:space="preserve"> “</w:t>
      </w:r>
      <w:r w:rsidRPr="005658ED">
        <w:rPr>
          <w:rFonts w:ascii="Palatino Linotype" w:hAnsi="Palatino Linotype" w:cs="Aldhabi"/>
          <w:color w:val="0070C0"/>
          <w:sz w:val="24"/>
          <w:szCs w:val="24"/>
          <w:lang w:val="it-IT"/>
        </w:rPr>
        <w:t>Privacy Shield</w:t>
      </w:r>
      <w:r w:rsidR="00324C29" w:rsidRPr="005658ED">
        <w:rPr>
          <w:rFonts w:ascii="Palatino Linotype" w:hAnsi="Palatino Linotype" w:cs="Aldhabi"/>
          <w:color w:val="0070C0"/>
          <w:sz w:val="24"/>
          <w:szCs w:val="24"/>
          <w:lang w:val="it-IT"/>
        </w:rPr>
        <w:t>” è stato</w:t>
      </w:r>
      <w:r w:rsidRPr="005658ED">
        <w:rPr>
          <w:rFonts w:ascii="Palatino Linotype" w:hAnsi="Palatino Linotype" w:cs="Aldhabi"/>
          <w:color w:val="0070C0"/>
          <w:sz w:val="24"/>
          <w:szCs w:val="24"/>
          <w:lang w:val="it-IT"/>
        </w:rPr>
        <w:t xml:space="preserve"> approvato</w:t>
      </w:r>
      <w:r w:rsidR="00324C29" w:rsidRPr="005658ED">
        <w:rPr>
          <w:rFonts w:ascii="Palatino Linotype" w:hAnsi="Palatino Linotype" w:cs="Aldhabi"/>
          <w:color w:val="0070C0"/>
          <w:sz w:val="24"/>
          <w:szCs w:val="24"/>
          <w:lang w:val="it-IT"/>
        </w:rPr>
        <w:t xml:space="preserve"> </w:t>
      </w:r>
      <w:r w:rsidRPr="005658ED">
        <w:rPr>
          <w:rFonts w:ascii="Palatino Linotype" w:hAnsi="Palatino Linotype" w:cs="Aldhabi"/>
          <w:color w:val="0070C0"/>
          <w:sz w:val="24"/>
          <w:szCs w:val="24"/>
          <w:lang w:val="it-IT"/>
        </w:rPr>
        <w:t>dalla Commissione UE con Decisione 2016/1250 del 16 luglio 2016</w:t>
      </w:r>
      <w:r w:rsidR="00324C29" w:rsidRPr="005658ED">
        <w:rPr>
          <w:rFonts w:ascii="Palatino Linotype" w:hAnsi="Palatino Linotype" w:cs="Aldhabi"/>
          <w:color w:val="0070C0"/>
          <w:sz w:val="24"/>
          <w:szCs w:val="24"/>
          <w:lang w:val="it-IT"/>
        </w:rPr>
        <w:t>.</w:t>
      </w:r>
    </w:p>
    <w:p w14:paraId="69113D27" w14:textId="74005015" w:rsidR="00ED5556" w:rsidRPr="005658ED" w:rsidRDefault="00324C29" w:rsidP="00B050DA">
      <w:pPr>
        <w:spacing w:after="0"/>
        <w:jc w:val="both"/>
        <w:rPr>
          <w:rFonts w:ascii="Palatino Linotype" w:hAnsi="Palatino Linotype" w:cs="Aldhabi"/>
          <w:color w:val="0070C0"/>
          <w:sz w:val="24"/>
          <w:szCs w:val="24"/>
          <w:lang w:val="it-IT"/>
        </w:rPr>
      </w:pPr>
      <w:r w:rsidRPr="005658ED">
        <w:rPr>
          <w:rFonts w:ascii="Palatino Linotype" w:hAnsi="Palatino Linotype" w:cs="Aldhabi"/>
          <w:color w:val="0070C0"/>
          <w:sz w:val="24"/>
          <w:szCs w:val="24"/>
          <w:lang w:val="it-IT"/>
        </w:rPr>
        <w:t xml:space="preserve">Nel maggio 2018 è entrato in vigore il </w:t>
      </w:r>
      <w:r w:rsidR="00C83D54" w:rsidRPr="005658ED">
        <w:rPr>
          <w:rFonts w:ascii="Palatino Linotype" w:hAnsi="Palatino Linotype" w:cs="Aldhabi"/>
          <w:color w:val="0070C0"/>
          <w:sz w:val="24"/>
          <w:szCs w:val="24"/>
          <w:lang w:val="it-IT"/>
        </w:rPr>
        <w:t>Regolamento (UE) n. 679/16</w:t>
      </w:r>
      <w:r w:rsidR="00C83D54" w:rsidRPr="005658ED">
        <w:rPr>
          <w:rFonts w:ascii="Palatino Linotype" w:hAnsi="Palatino Linotype" w:cs="Aldhabi"/>
          <w:color w:val="0070C0"/>
          <w:sz w:val="24"/>
          <w:szCs w:val="24"/>
          <w:lang w:val="it-IT"/>
        </w:rPr>
        <w:t>, c.d. “</w:t>
      </w:r>
      <w:r w:rsidRPr="005658ED">
        <w:rPr>
          <w:rFonts w:ascii="Palatino Linotype" w:hAnsi="Palatino Linotype" w:cs="Aldhabi"/>
          <w:color w:val="0070C0"/>
          <w:sz w:val="24"/>
          <w:szCs w:val="24"/>
          <w:lang w:val="it-IT"/>
        </w:rPr>
        <w:t>GDPR</w:t>
      </w:r>
      <w:r w:rsidR="00C83D54" w:rsidRPr="005658ED">
        <w:rPr>
          <w:rFonts w:ascii="Palatino Linotype" w:hAnsi="Palatino Linotype" w:cs="Aldhabi"/>
          <w:color w:val="0070C0"/>
          <w:sz w:val="24"/>
          <w:szCs w:val="24"/>
          <w:lang w:val="it-IT"/>
        </w:rPr>
        <w:t>”</w:t>
      </w:r>
      <w:r w:rsidRPr="005658ED">
        <w:rPr>
          <w:rFonts w:ascii="Palatino Linotype" w:hAnsi="Palatino Linotype" w:cs="Aldhabi"/>
          <w:color w:val="0070C0"/>
          <w:sz w:val="24"/>
          <w:szCs w:val="24"/>
          <w:lang w:val="it-IT"/>
        </w:rPr>
        <w:t>, che ha sostituito la direttiva 95/46/CE.</w:t>
      </w:r>
    </w:p>
    <w:p w14:paraId="68755026" w14:textId="7790B2F1" w:rsidR="00324C29" w:rsidRPr="005658ED" w:rsidRDefault="00324C29" w:rsidP="00B050DA">
      <w:pPr>
        <w:spacing w:after="0"/>
        <w:jc w:val="both"/>
        <w:rPr>
          <w:rFonts w:ascii="Palatino Linotype" w:hAnsi="Palatino Linotype" w:cs="Aldhabi"/>
          <w:sz w:val="24"/>
          <w:szCs w:val="24"/>
          <w:lang w:val="it-IT"/>
        </w:rPr>
      </w:pPr>
    </w:p>
    <w:p w14:paraId="052DD266" w14:textId="7ED67584" w:rsidR="00324C29" w:rsidRPr="00B050DA" w:rsidRDefault="00324C29" w:rsidP="00B050DA">
      <w:pPr>
        <w:pStyle w:val="Paragrafoelenco"/>
        <w:numPr>
          <w:ilvl w:val="0"/>
          <w:numId w:val="2"/>
        </w:numPr>
        <w:spacing w:after="0"/>
        <w:jc w:val="both"/>
        <w:rPr>
          <w:rFonts w:ascii="Palatino Linotype" w:hAnsi="Palatino Linotype" w:cs="Aldhabi"/>
          <w:b/>
          <w:bCs/>
          <w:sz w:val="24"/>
          <w:szCs w:val="24"/>
          <w:lang w:val="it-IT"/>
        </w:rPr>
      </w:pPr>
      <w:r w:rsidRPr="00B050DA">
        <w:rPr>
          <w:rFonts w:ascii="Palatino Linotype" w:hAnsi="Palatino Linotype" w:cs="Aldhabi"/>
          <w:b/>
          <w:bCs/>
          <w:sz w:val="24"/>
          <w:szCs w:val="24"/>
          <w:lang w:val="it-IT"/>
        </w:rPr>
        <w:t xml:space="preserve">CGUE 2020 – </w:t>
      </w:r>
      <w:proofErr w:type="gramStart"/>
      <w:r w:rsidRPr="00B050DA">
        <w:rPr>
          <w:rFonts w:ascii="Palatino Linotype" w:hAnsi="Palatino Linotype" w:cs="Aldhabi"/>
          <w:b/>
          <w:bCs/>
          <w:sz w:val="24"/>
          <w:szCs w:val="24"/>
          <w:lang w:val="it-IT"/>
        </w:rPr>
        <w:t xml:space="preserve">Causa </w:t>
      </w:r>
      <w:r w:rsidR="00F12115" w:rsidRPr="00B050DA">
        <w:rPr>
          <w:rFonts w:ascii="Palatino Linotype" w:hAnsi="Palatino Linotype" w:cs="Aldhabi"/>
          <w:b/>
          <w:bCs/>
          <w:sz w:val="24"/>
          <w:szCs w:val="24"/>
          <w:lang w:val="it-IT"/>
        </w:rPr>
        <w:t xml:space="preserve"> C</w:t>
      </w:r>
      <w:proofErr w:type="gramEnd"/>
      <w:r w:rsidR="00F12115" w:rsidRPr="00B050DA">
        <w:rPr>
          <w:rFonts w:ascii="Palatino Linotype" w:hAnsi="Palatino Linotype" w:cs="Aldhabi"/>
          <w:b/>
          <w:bCs/>
          <w:sz w:val="24"/>
          <w:szCs w:val="24"/>
          <w:lang w:val="it-IT"/>
        </w:rPr>
        <w:t xml:space="preserve">-311/18 </w:t>
      </w:r>
      <w:proofErr w:type="spellStart"/>
      <w:r w:rsidR="00F12115" w:rsidRPr="00B050DA">
        <w:rPr>
          <w:rFonts w:ascii="Palatino Linotype" w:hAnsi="Palatino Linotype" w:cs="Aldhabi"/>
          <w:b/>
          <w:bCs/>
          <w:i/>
          <w:iCs/>
          <w:sz w:val="24"/>
          <w:szCs w:val="24"/>
          <w:lang w:val="it-IT"/>
        </w:rPr>
        <w:t>Schrems</w:t>
      </w:r>
      <w:proofErr w:type="spellEnd"/>
      <w:r w:rsidR="00F12115" w:rsidRPr="00B050DA">
        <w:rPr>
          <w:rFonts w:ascii="Palatino Linotype" w:hAnsi="Palatino Linotype" w:cs="Aldhabi"/>
          <w:b/>
          <w:bCs/>
          <w:i/>
          <w:iCs/>
          <w:sz w:val="24"/>
          <w:szCs w:val="24"/>
          <w:lang w:val="it-IT"/>
        </w:rPr>
        <w:t xml:space="preserve"> II </w:t>
      </w:r>
    </w:p>
    <w:p w14:paraId="56DFF1FB" w14:textId="7590A17F" w:rsidR="00C83D54" w:rsidRPr="005658ED" w:rsidRDefault="00C83D54" w:rsidP="00B050DA">
      <w:pPr>
        <w:spacing w:after="0"/>
        <w:ind w:left="720"/>
        <w:jc w:val="both"/>
        <w:rPr>
          <w:rFonts w:ascii="Palatino Linotype" w:hAnsi="Palatino Linotype" w:cs="Aldhabi"/>
          <w:sz w:val="24"/>
          <w:szCs w:val="24"/>
          <w:lang w:val="it-IT"/>
        </w:rPr>
      </w:pPr>
      <w:r w:rsidRPr="005658ED">
        <w:rPr>
          <w:rFonts w:ascii="Palatino Linotype" w:hAnsi="Palatino Linotype" w:cs="Aldhabi"/>
          <w:sz w:val="24"/>
          <w:szCs w:val="24"/>
          <w:lang w:val="it-IT"/>
        </w:rPr>
        <w:t>È</w:t>
      </w:r>
      <w:r w:rsidRPr="005658ED">
        <w:rPr>
          <w:rFonts w:ascii="Palatino Linotype" w:hAnsi="Palatino Linotype" w:cs="Aldhabi"/>
          <w:sz w:val="24"/>
          <w:szCs w:val="24"/>
          <w:lang w:val="it-IT"/>
        </w:rPr>
        <w:t xml:space="preserve"> </w:t>
      </w:r>
      <w:r w:rsidRPr="005658ED">
        <w:rPr>
          <w:rFonts w:ascii="Palatino Linotype" w:hAnsi="Palatino Linotype" w:cs="Aldhabi"/>
          <w:sz w:val="24"/>
          <w:szCs w:val="24"/>
          <w:lang w:val="it-IT"/>
        </w:rPr>
        <w:t>invalida la Decisione 2016/1250</w:t>
      </w:r>
      <w:r w:rsidR="00F12115" w:rsidRPr="005658ED">
        <w:rPr>
          <w:rFonts w:ascii="Palatino Linotype" w:hAnsi="Palatino Linotype" w:cs="Aldhabi"/>
          <w:sz w:val="24"/>
          <w:szCs w:val="24"/>
          <w:lang w:val="it-IT"/>
        </w:rPr>
        <w:t>, ritenuta in contrasto con a</w:t>
      </w:r>
      <w:r w:rsidR="00F12115" w:rsidRPr="005658ED">
        <w:rPr>
          <w:rFonts w:ascii="Palatino Linotype" w:hAnsi="Palatino Linotype" w:cs="Aldhabi"/>
          <w:sz w:val="24"/>
          <w:szCs w:val="24"/>
          <w:lang w:val="it-IT"/>
        </w:rPr>
        <w:t>rt</w:t>
      </w:r>
      <w:r w:rsidR="00F12115" w:rsidRPr="005658ED">
        <w:rPr>
          <w:rFonts w:ascii="Palatino Linotype" w:hAnsi="Palatino Linotype" w:cs="Aldhabi"/>
          <w:sz w:val="24"/>
          <w:szCs w:val="24"/>
          <w:lang w:val="it-IT"/>
        </w:rPr>
        <w:t>.</w:t>
      </w:r>
      <w:r w:rsidR="00F12115" w:rsidRPr="005658ED">
        <w:rPr>
          <w:rFonts w:ascii="Palatino Linotype" w:hAnsi="Palatino Linotype" w:cs="Aldhabi"/>
          <w:sz w:val="24"/>
          <w:szCs w:val="24"/>
          <w:lang w:val="it-IT"/>
        </w:rPr>
        <w:t xml:space="preserve"> 46, par</w:t>
      </w:r>
      <w:r w:rsidR="00F12115" w:rsidRPr="005658ED">
        <w:rPr>
          <w:rFonts w:ascii="Palatino Linotype" w:hAnsi="Palatino Linotype" w:cs="Aldhabi"/>
          <w:sz w:val="24"/>
          <w:szCs w:val="24"/>
          <w:lang w:val="it-IT"/>
        </w:rPr>
        <w:t>.</w:t>
      </w:r>
      <w:r w:rsidR="00F12115" w:rsidRPr="005658ED">
        <w:rPr>
          <w:rFonts w:ascii="Palatino Linotype" w:hAnsi="Palatino Linotype" w:cs="Aldhabi"/>
          <w:sz w:val="24"/>
          <w:szCs w:val="24"/>
          <w:lang w:val="it-IT"/>
        </w:rPr>
        <w:t xml:space="preserve"> 1, e </w:t>
      </w:r>
      <w:r w:rsidR="00F12115" w:rsidRPr="005658ED">
        <w:rPr>
          <w:rFonts w:ascii="Palatino Linotype" w:hAnsi="Palatino Linotype" w:cs="Aldhabi"/>
          <w:sz w:val="24"/>
          <w:szCs w:val="24"/>
          <w:lang w:val="it-IT"/>
        </w:rPr>
        <w:t>par.</w:t>
      </w:r>
      <w:r w:rsidR="00F12115" w:rsidRPr="005658ED">
        <w:rPr>
          <w:rFonts w:ascii="Palatino Linotype" w:hAnsi="Palatino Linotype" w:cs="Aldhabi"/>
          <w:sz w:val="24"/>
          <w:szCs w:val="24"/>
          <w:lang w:val="it-IT"/>
        </w:rPr>
        <w:t xml:space="preserve"> 2, lett</w:t>
      </w:r>
      <w:r w:rsidR="00F12115" w:rsidRPr="005658ED">
        <w:rPr>
          <w:rFonts w:ascii="Palatino Linotype" w:hAnsi="Palatino Linotype" w:cs="Aldhabi"/>
          <w:sz w:val="24"/>
          <w:szCs w:val="24"/>
          <w:lang w:val="it-IT"/>
        </w:rPr>
        <w:t>.</w:t>
      </w:r>
      <w:r w:rsidR="00F12115" w:rsidRPr="005658ED">
        <w:rPr>
          <w:rFonts w:ascii="Palatino Linotype" w:hAnsi="Palatino Linotype" w:cs="Aldhabi"/>
          <w:sz w:val="24"/>
          <w:szCs w:val="24"/>
          <w:lang w:val="it-IT"/>
        </w:rPr>
        <w:t xml:space="preserve"> c), del </w:t>
      </w:r>
      <w:r w:rsidR="00F12115" w:rsidRPr="005658ED">
        <w:rPr>
          <w:rFonts w:ascii="Palatino Linotype" w:hAnsi="Palatino Linotype" w:cs="Aldhabi"/>
          <w:sz w:val="24"/>
          <w:szCs w:val="24"/>
          <w:lang w:val="it-IT"/>
        </w:rPr>
        <w:t>GDPR</w:t>
      </w:r>
      <w:r w:rsidR="00F12115" w:rsidRPr="005658ED">
        <w:rPr>
          <w:rFonts w:ascii="Palatino Linotype" w:hAnsi="Palatino Linotype" w:cs="Aldhabi"/>
          <w:sz w:val="24"/>
          <w:szCs w:val="24"/>
          <w:lang w:val="it-IT"/>
        </w:rPr>
        <w:t>, interpretati alla luce degli articoli 7, 8 e 47 della Carta</w:t>
      </w:r>
      <w:r w:rsidR="000269A3" w:rsidRPr="005658ED">
        <w:rPr>
          <w:rFonts w:ascii="Palatino Linotype" w:hAnsi="Palatino Linotype" w:cs="Aldhabi"/>
          <w:sz w:val="24"/>
          <w:szCs w:val="24"/>
          <w:lang w:val="it-IT"/>
        </w:rPr>
        <w:t>.</w:t>
      </w:r>
    </w:p>
    <w:p w14:paraId="6F32BA3A" w14:textId="3585D904" w:rsidR="000269A3" w:rsidRPr="005658ED" w:rsidRDefault="000269A3" w:rsidP="00B050DA">
      <w:pPr>
        <w:spacing w:after="0"/>
        <w:ind w:left="720"/>
        <w:jc w:val="both"/>
        <w:rPr>
          <w:rFonts w:ascii="Palatino Linotype" w:hAnsi="Palatino Linotype" w:cs="Aldhabi"/>
          <w:sz w:val="24"/>
          <w:szCs w:val="24"/>
          <w:lang w:val="it-IT"/>
        </w:rPr>
      </w:pPr>
      <w:r w:rsidRPr="005658ED">
        <w:rPr>
          <w:rFonts w:ascii="Palatino Linotype" w:hAnsi="Palatino Linotype" w:cs="Aldhabi"/>
          <w:sz w:val="24"/>
          <w:szCs w:val="24"/>
          <w:lang w:val="it-IT"/>
        </w:rPr>
        <w:t>Motivi principali:</w:t>
      </w:r>
    </w:p>
    <w:p w14:paraId="6AE34059" w14:textId="3D66BF27" w:rsidR="000269A3" w:rsidRPr="005658ED" w:rsidRDefault="000269A3" w:rsidP="00B050DA">
      <w:pPr>
        <w:spacing w:after="0"/>
        <w:ind w:left="720"/>
        <w:jc w:val="both"/>
        <w:rPr>
          <w:rFonts w:ascii="Palatino Linotype" w:hAnsi="Palatino Linotype" w:cs="Aldhabi"/>
          <w:sz w:val="24"/>
          <w:szCs w:val="24"/>
          <w:lang w:val="it-IT"/>
        </w:rPr>
      </w:pPr>
      <w:r w:rsidRPr="005658ED">
        <w:rPr>
          <w:rFonts w:ascii="Palatino Linotype" w:hAnsi="Palatino Linotype" w:cs="Aldhabi"/>
          <w:sz w:val="24"/>
          <w:szCs w:val="24"/>
          <w:lang w:val="it-IT"/>
        </w:rPr>
        <w:t xml:space="preserve">Contrasto con principio </w:t>
      </w:r>
      <w:r w:rsidRPr="005658ED">
        <w:rPr>
          <w:rFonts w:ascii="Palatino Linotype" w:hAnsi="Palatino Linotype" w:cs="Aldhabi"/>
          <w:sz w:val="24"/>
          <w:szCs w:val="24"/>
          <w:lang w:val="it-IT"/>
        </w:rPr>
        <w:t>di proporzionalità</w:t>
      </w:r>
      <w:r w:rsidRPr="005658ED">
        <w:rPr>
          <w:rFonts w:ascii="Palatino Linotype" w:hAnsi="Palatino Linotype" w:cs="Aldhabi"/>
          <w:sz w:val="24"/>
          <w:szCs w:val="24"/>
          <w:lang w:val="it-IT"/>
        </w:rPr>
        <w:t xml:space="preserve"> sancito in regolamento GDPR</w:t>
      </w:r>
      <w:r w:rsidRPr="005658ED">
        <w:rPr>
          <w:rFonts w:ascii="Palatino Linotype" w:hAnsi="Palatino Linotype" w:cs="Aldhabi"/>
          <w:sz w:val="24"/>
          <w:szCs w:val="24"/>
          <w:lang w:val="it-IT"/>
        </w:rPr>
        <w:t>, in quanto esiste la possibilità da parte delle autorità pubbliche e di controllo</w:t>
      </w:r>
      <w:r w:rsidRPr="005658ED">
        <w:rPr>
          <w:rFonts w:ascii="Palatino Linotype" w:hAnsi="Palatino Linotype" w:cs="Aldhabi"/>
          <w:sz w:val="24"/>
          <w:szCs w:val="24"/>
          <w:lang w:val="it-IT"/>
        </w:rPr>
        <w:t xml:space="preserve"> </w:t>
      </w:r>
      <w:r w:rsidRPr="005658ED">
        <w:rPr>
          <w:rFonts w:ascii="Palatino Linotype" w:hAnsi="Palatino Linotype" w:cs="Aldhabi"/>
          <w:sz w:val="24"/>
          <w:szCs w:val="24"/>
          <w:lang w:val="it-IT"/>
        </w:rPr>
        <w:t>degli USA di accedere e trattare i dati personali trasferiti senza limitazioni a quanto sia strettamente necessario per le ragioni di sorveglianza</w:t>
      </w:r>
      <w:r w:rsidRPr="005658ED">
        <w:rPr>
          <w:rFonts w:ascii="Palatino Linotype" w:hAnsi="Palatino Linotype" w:cs="Aldhabi"/>
          <w:sz w:val="24"/>
          <w:szCs w:val="24"/>
          <w:lang w:val="it-IT"/>
        </w:rPr>
        <w:t>.</w:t>
      </w:r>
    </w:p>
    <w:p w14:paraId="29C0166F" w14:textId="7A67D36F" w:rsidR="00530B46" w:rsidRPr="005658ED" w:rsidRDefault="00530B46" w:rsidP="00B050DA">
      <w:pPr>
        <w:spacing w:after="0"/>
        <w:ind w:left="720"/>
        <w:jc w:val="both"/>
        <w:rPr>
          <w:rFonts w:ascii="Palatino Linotype" w:hAnsi="Palatino Linotype" w:cs="Aldhabi"/>
          <w:sz w:val="24"/>
          <w:szCs w:val="24"/>
          <w:lang w:val="it-IT"/>
        </w:rPr>
      </w:pPr>
      <w:r w:rsidRPr="005658ED">
        <w:rPr>
          <w:rFonts w:ascii="Palatino Linotype" w:hAnsi="Palatino Linotype" w:cs="Aldhabi"/>
          <w:sz w:val="24"/>
          <w:szCs w:val="24"/>
          <w:lang w:val="it-IT"/>
        </w:rPr>
        <w:t xml:space="preserve">In USA sono assenti </w:t>
      </w:r>
      <w:r w:rsidRPr="005658ED">
        <w:rPr>
          <w:rFonts w:ascii="Palatino Linotype" w:hAnsi="Palatino Linotype" w:cs="Aldhabi"/>
          <w:sz w:val="24"/>
          <w:szCs w:val="24"/>
          <w:lang w:val="it-IT"/>
        </w:rPr>
        <w:t>garanzie equivalenti a quelle richieste dal diritto dell’UE, come ad esempio assicurare l’indipendenza del</w:t>
      </w:r>
      <w:r w:rsidRPr="005658ED">
        <w:rPr>
          <w:rFonts w:ascii="Palatino Linotype" w:hAnsi="Palatino Linotype" w:cs="Aldhabi"/>
          <w:sz w:val="24"/>
          <w:szCs w:val="24"/>
          <w:lang w:val="it-IT"/>
        </w:rPr>
        <w:t xml:space="preserve"> </w:t>
      </w:r>
      <w:r w:rsidRPr="005658ED">
        <w:rPr>
          <w:rFonts w:ascii="Palatino Linotype" w:hAnsi="Palatino Linotype" w:cs="Aldhabi"/>
          <w:sz w:val="24"/>
          <w:szCs w:val="24"/>
          <w:lang w:val="it-IT"/>
        </w:rPr>
        <w:t xml:space="preserve">difensore civico </w:t>
      </w:r>
      <w:r w:rsidRPr="005658ED">
        <w:rPr>
          <w:rFonts w:ascii="Palatino Linotype" w:hAnsi="Palatino Linotype" w:cs="Aldhabi"/>
          <w:sz w:val="24"/>
          <w:szCs w:val="24"/>
          <w:lang w:val="it-IT"/>
        </w:rPr>
        <w:t>(cui i cittadini possono rivolgers</w:t>
      </w:r>
      <w:r w:rsidR="00F12115" w:rsidRPr="005658ED">
        <w:rPr>
          <w:rFonts w:ascii="Palatino Linotype" w:hAnsi="Palatino Linotype" w:cs="Aldhabi"/>
          <w:sz w:val="24"/>
          <w:szCs w:val="24"/>
          <w:lang w:val="it-IT"/>
        </w:rPr>
        <w:t>i</w:t>
      </w:r>
      <w:r w:rsidRPr="005658ED">
        <w:rPr>
          <w:rFonts w:ascii="Palatino Linotype" w:hAnsi="Palatino Linotype" w:cs="Aldhabi"/>
          <w:sz w:val="24"/>
          <w:szCs w:val="24"/>
          <w:lang w:val="it-IT"/>
        </w:rPr>
        <w:t xml:space="preserve"> per chiedere tutela) </w:t>
      </w:r>
      <w:r w:rsidRPr="005658ED">
        <w:rPr>
          <w:rFonts w:ascii="Palatino Linotype" w:hAnsi="Palatino Linotype" w:cs="Aldhabi"/>
          <w:sz w:val="24"/>
          <w:szCs w:val="24"/>
          <w:lang w:val="it-IT"/>
        </w:rPr>
        <w:t>e l’esistenza di norme che conferiscono al difensore civico il potere di adottare decisioni vincolanti per i servizi di intelligence e per le</w:t>
      </w:r>
      <w:r w:rsidRPr="005658ED">
        <w:rPr>
          <w:rFonts w:ascii="Palatino Linotype" w:hAnsi="Palatino Linotype" w:cs="Aldhabi"/>
          <w:sz w:val="24"/>
          <w:szCs w:val="24"/>
          <w:lang w:val="it-IT"/>
        </w:rPr>
        <w:t xml:space="preserve"> </w:t>
      </w:r>
      <w:r w:rsidRPr="005658ED">
        <w:rPr>
          <w:rFonts w:ascii="Palatino Linotype" w:hAnsi="Palatino Linotype" w:cs="Aldhabi"/>
          <w:sz w:val="24"/>
          <w:szCs w:val="24"/>
          <w:lang w:val="it-IT"/>
        </w:rPr>
        <w:t>altre autorità pubbliche statunitensi.</w:t>
      </w:r>
    </w:p>
    <w:sectPr w:rsidR="00530B46" w:rsidRPr="005658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D75"/>
    <w:multiLevelType w:val="hybridMultilevel"/>
    <w:tmpl w:val="2D1C05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F43F96"/>
    <w:multiLevelType w:val="hybridMultilevel"/>
    <w:tmpl w:val="4B288FAE"/>
    <w:lvl w:ilvl="0" w:tplc="D85013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2A"/>
    <w:rsid w:val="000269A3"/>
    <w:rsid w:val="00324C29"/>
    <w:rsid w:val="00524C5B"/>
    <w:rsid w:val="00530B46"/>
    <w:rsid w:val="005658ED"/>
    <w:rsid w:val="00606DE5"/>
    <w:rsid w:val="00B050DA"/>
    <w:rsid w:val="00C83D54"/>
    <w:rsid w:val="00DF062A"/>
    <w:rsid w:val="00ED5556"/>
    <w:rsid w:val="00F12115"/>
    <w:rsid w:val="00F245F6"/>
    <w:rsid w:val="00FB7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AE84"/>
  <w15:chartTrackingRefBased/>
  <w15:docId w15:val="{9A320A7D-A34B-495F-857E-E7E4BE58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668</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Pistoia</dc:creator>
  <cp:keywords/>
  <dc:description/>
  <cp:lastModifiedBy>Emanuela Pistoia</cp:lastModifiedBy>
  <cp:revision>4</cp:revision>
  <dcterms:created xsi:type="dcterms:W3CDTF">2020-12-28T18:03:00Z</dcterms:created>
  <dcterms:modified xsi:type="dcterms:W3CDTF">2020-12-28T20:04:00Z</dcterms:modified>
</cp:coreProperties>
</file>