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F2ABEF" w14:textId="77777777" w:rsidR="00263869" w:rsidRPr="00263869" w:rsidRDefault="00263869" w:rsidP="00263869">
      <w:pPr>
        <w:pBdr>
          <w:bottom w:val="single" w:sz="18" w:space="12" w:color="3E3F3E"/>
        </w:pBdr>
        <w:shd w:val="clear" w:color="auto" w:fill="FAF9F6"/>
        <w:spacing w:after="0" w:line="420" w:lineRule="atLeast"/>
        <w:outlineLvl w:val="0"/>
        <w:rPr>
          <w:rFonts w:ascii="Garamond" w:eastAsia="Times New Roman" w:hAnsi="Garamond" w:cs="Times New Roman"/>
          <w:b/>
          <w:bCs/>
          <w:color w:val="3E3F3E"/>
          <w:kern w:val="36"/>
          <w:sz w:val="60"/>
          <w:szCs w:val="60"/>
          <w:lang w:val="it-IT" w:eastAsia="nl-NL"/>
        </w:rPr>
      </w:pPr>
      <w:r w:rsidRPr="00263869">
        <w:rPr>
          <w:rFonts w:ascii="Garamond" w:eastAsia="Times New Roman" w:hAnsi="Garamond" w:cs="Times New Roman"/>
          <w:b/>
          <w:bCs/>
          <w:color w:val="3E3F3E"/>
          <w:kern w:val="36"/>
          <w:sz w:val="60"/>
          <w:szCs w:val="60"/>
          <w:lang w:val="it-IT" w:eastAsia="nl-NL"/>
        </w:rPr>
        <w:t>Rogatorie</w:t>
      </w:r>
    </w:p>
    <w:p w14:paraId="0BBABB81" w14:textId="77777777" w:rsidR="00263869" w:rsidRPr="00263869" w:rsidRDefault="00263869" w:rsidP="00263869">
      <w:pPr>
        <w:shd w:val="clear" w:color="auto" w:fill="FAF9F6"/>
        <w:spacing w:after="0" w:line="360" w:lineRule="atLeast"/>
        <w:rPr>
          <w:rFonts w:ascii="Montserrat" w:eastAsia="Times New Roman" w:hAnsi="Montserrat" w:cs="Times New Roman"/>
          <w:b/>
          <w:bCs/>
          <w:color w:val="6E6F6E"/>
          <w:spacing w:val="11"/>
          <w:sz w:val="20"/>
          <w:szCs w:val="20"/>
          <w:lang w:val="it-IT" w:eastAsia="nl-NL"/>
        </w:rPr>
      </w:pPr>
      <w:r w:rsidRPr="00263869">
        <w:rPr>
          <w:rFonts w:ascii="Montserrat" w:eastAsia="Times New Roman" w:hAnsi="Montserrat" w:cs="Times New Roman"/>
          <w:b/>
          <w:bCs/>
          <w:color w:val="6E6F6E"/>
          <w:spacing w:val="11"/>
          <w:sz w:val="20"/>
          <w:szCs w:val="20"/>
          <w:lang w:val="it-IT" w:eastAsia="nl-NL"/>
        </w:rPr>
        <w:t>di Giuseppe Della Monica - Diritto on line (2016)</w:t>
      </w:r>
    </w:p>
    <w:p w14:paraId="460DB9D0" w14:textId="0EDCF0DE" w:rsidR="00ED694E" w:rsidRDefault="00ED694E">
      <w:pPr>
        <w:rPr>
          <w:lang w:val="it-IT"/>
        </w:rPr>
      </w:pPr>
    </w:p>
    <w:p w14:paraId="757650E0" w14:textId="77777777" w:rsidR="00263869" w:rsidRPr="00263869" w:rsidRDefault="00263869" w:rsidP="00263869">
      <w:pPr>
        <w:pStyle w:val="NormaleWeb"/>
        <w:shd w:val="clear" w:color="auto" w:fill="FAF9F6"/>
        <w:spacing w:line="450" w:lineRule="atLeast"/>
        <w:jc w:val="both"/>
        <w:rPr>
          <w:rFonts w:ascii="Garamond" w:hAnsi="Garamond"/>
          <w:color w:val="3E3F3E"/>
          <w:sz w:val="33"/>
          <w:szCs w:val="33"/>
          <w:lang w:val="it-IT"/>
        </w:rPr>
      </w:pPr>
      <w:r w:rsidRPr="00263869">
        <w:rPr>
          <w:rFonts w:ascii="Garamond" w:hAnsi="Garamond"/>
          <w:i/>
          <w:iCs/>
          <w:color w:val="3E3F3E"/>
          <w:sz w:val="33"/>
          <w:szCs w:val="33"/>
          <w:lang w:val="it-IT"/>
        </w:rPr>
        <w:t>Le rogatorie costituiscono lo strumento giuridico attraverso cui, in forza di accordi internazionali, l’autorità giudiziaria procedente ottiene il compimento, da parte di organi di altro Stato, di atti del procedimento penale su territorio estero, così da superare le rigide preclusioni connesse al principio di sovranità. L’istituto sembra destinato ad una funzione sempre più residuale, atteso il progressivo affermarsi di nuove forme di cooperazione giudiziaria, volte a semplificare la circolazione transnazionale di elementi probatori utili all’accertamento penale. Le regole connotate da maggiori profili di criticità, specie nell’applicazione pratica, sono quelle che attengono alla utilizzabilità, da parte dell’autorità richiedente, degli elementi di prova acquisiti mediante rogatoria, posto che la formazione di detti elementi avviene, di regola, nel rispetto della normativa dello Stato richiesto: le discrasie spesso ravvisabili tra diversi ordinamenti — con riferimento, in particolare, alle garanzie dell’accusato e all’attendibilità del risultato probatorio — possono determinare, infatti, l’insorgenza di vizi processuali che pregiudicano, in tutto o in parte, la validità e l’efficacia dimostrativa dell’atto compiuto mediante rogatoria</w:t>
      </w:r>
      <w:r w:rsidRPr="00263869">
        <w:rPr>
          <w:rFonts w:ascii="Garamond" w:hAnsi="Garamond"/>
          <w:color w:val="3E3F3E"/>
          <w:sz w:val="33"/>
          <w:szCs w:val="33"/>
          <w:lang w:val="it-IT"/>
        </w:rPr>
        <w:t>.</w:t>
      </w:r>
    </w:p>
    <w:p w14:paraId="57099477" w14:textId="77777777" w:rsidR="00263869" w:rsidRPr="00263869" w:rsidRDefault="00263869" w:rsidP="00263869">
      <w:pPr>
        <w:pStyle w:val="Titolo2"/>
        <w:shd w:val="clear" w:color="auto" w:fill="FAF9F6"/>
        <w:spacing w:before="450" w:after="450" w:line="390" w:lineRule="atLeast"/>
        <w:jc w:val="both"/>
        <w:rPr>
          <w:rFonts w:ascii="Montserrat" w:hAnsi="Montserrat"/>
          <w:caps/>
          <w:color w:val="3E3F3E"/>
          <w:sz w:val="32"/>
          <w:szCs w:val="32"/>
          <w:lang w:val="it-IT"/>
        </w:rPr>
      </w:pPr>
      <w:r w:rsidRPr="00263869">
        <w:rPr>
          <w:rStyle w:val="mw-headline"/>
          <w:rFonts w:ascii="Montserrat" w:hAnsi="Montserrat"/>
          <w:caps/>
          <w:color w:val="3E3F3E"/>
          <w:sz w:val="32"/>
          <w:szCs w:val="32"/>
          <w:lang w:val="it-IT"/>
        </w:rPr>
        <w:t>DEFINIZIONE</w:t>
      </w:r>
    </w:p>
    <w:p w14:paraId="25917312" w14:textId="77777777" w:rsidR="00263869" w:rsidRPr="00263869" w:rsidRDefault="00263869" w:rsidP="00263869">
      <w:pPr>
        <w:pStyle w:val="NormaleWeb"/>
        <w:shd w:val="clear" w:color="auto" w:fill="FAF9F6"/>
        <w:spacing w:line="450" w:lineRule="atLeast"/>
        <w:jc w:val="both"/>
        <w:rPr>
          <w:rFonts w:ascii="Garamond" w:hAnsi="Garamond"/>
          <w:color w:val="3E3F3E"/>
          <w:sz w:val="33"/>
          <w:szCs w:val="33"/>
          <w:lang w:val="it-IT"/>
        </w:rPr>
      </w:pPr>
      <w:r w:rsidRPr="00263869">
        <w:rPr>
          <w:rFonts w:ascii="Garamond" w:hAnsi="Garamond"/>
          <w:color w:val="3E3F3E"/>
          <w:sz w:val="33"/>
          <w:szCs w:val="33"/>
          <w:lang w:val="it-IT"/>
        </w:rPr>
        <w:t>Con il termine </w:t>
      </w:r>
      <w:r w:rsidRPr="00263869">
        <w:rPr>
          <w:rFonts w:ascii="Garamond" w:hAnsi="Garamond"/>
          <w:i/>
          <w:iCs/>
          <w:color w:val="3E3F3E"/>
          <w:sz w:val="33"/>
          <w:szCs w:val="33"/>
          <w:lang w:val="it-IT"/>
        </w:rPr>
        <w:t>rogatoria</w:t>
      </w:r>
      <w:r w:rsidRPr="00263869">
        <w:rPr>
          <w:rFonts w:ascii="Garamond" w:hAnsi="Garamond"/>
          <w:color w:val="3E3F3E"/>
          <w:sz w:val="33"/>
          <w:szCs w:val="33"/>
          <w:lang w:val="it-IT"/>
        </w:rPr>
        <w:t> – in aderenza al significato del verbo latino </w:t>
      </w:r>
      <w:r w:rsidRPr="00263869">
        <w:rPr>
          <w:rFonts w:ascii="Garamond" w:hAnsi="Garamond"/>
          <w:i/>
          <w:iCs/>
          <w:color w:val="3E3F3E"/>
          <w:sz w:val="33"/>
          <w:szCs w:val="33"/>
          <w:lang w:val="it-IT"/>
        </w:rPr>
        <w:t>rogare</w:t>
      </w:r>
      <w:r w:rsidRPr="00263869">
        <w:rPr>
          <w:rFonts w:ascii="Garamond" w:hAnsi="Garamond"/>
          <w:color w:val="3E3F3E"/>
          <w:sz w:val="33"/>
          <w:szCs w:val="33"/>
          <w:lang w:val="it-IT"/>
        </w:rPr>
        <w:t> (stendere la mano, implorare), che esprime la proposizione di una domanda per ottenere qualcosa – si fa riferimento alla richiesta dell’autorità giudiziaria indirizzata ad un organo autonomo (e, quindi, non tenuto ad eseguire la richiesta per ragioni di subordinazione funzionale) per il compimento di un determinato atto processuale.</w:t>
      </w:r>
    </w:p>
    <w:p w14:paraId="57F84B36" w14:textId="77777777" w:rsidR="00263869" w:rsidRPr="00263869" w:rsidRDefault="00263869" w:rsidP="00263869">
      <w:pPr>
        <w:pStyle w:val="NormaleWeb"/>
        <w:shd w:val="clear" w:color="auto" w:fill="FAF9F6"/>
        <w:spacing w:line="450" w:lineRule="atLeast"/>
        <w:jc w:val="both"/>
        <w:rPr>
          <w:rFonts w:ascii="Garamond" w:hAnsi="Garamond"/>
          <w:color w:val="3E3F3E"/>
          <w:sz w:val="33"/>
          <w:szCs w:val="33"/>
          <w:lang w:val="it-IT"/>
        </w:rPr>
      </w:pPr>
      <w:r w:rsidRPr="00263869">
        <w:rPr>
          <w:rFonts w:ascii="Garamond" w:hAnsi="Garamond"/>
          <w:color w:val="3E3F3E"/>
          <w:sz w:val="33"/>
          <w:szCs w:val="33"/>
          <w:lang w:val="it-IT"/>
        </w:rPr>
        <w:t xml:space="preserve">Attraverso la rogatoria, dunque, il giudice o il pubblico ministero chiede ad altro organo – di pari grado e dotato di analoga competenza – di compiere uno o più specifici </w:t>
      </w:r>
      <w:r w:rsidRPr="00E2325C">
        <w:rPr>
          <w:rFonts w:ascii="Garamond" w:hAnsi="Garamond"/>
          <w:color w:val="FF0000"/>
          <w:sz w:val="33"/>
          <w:szCs w:val="33"/>
          <w:lang w:val="it-IT"/>
        </w:rPr>
        <w:t>atti processuali</w:t>
      </w:r>
      <w:r w:rsidRPr="00263869">
        <w:rPr>
          <w:rFonts w:ascii="Garamond" w:hAnsi="Garamond"/>
          <w:color w:val="3E3F3E"/>
          <w:sz w:val="33"/>
          <w:szCs w:val="33"/>
          <w:lang w:val="it-IT"/>
        </w:rPr>
        <w:t xml:space="preserve">, </w:t>
      </w:r>
      <w:r w:rsidRPr="00E2325C">
        <w:rPr>
          <w:rFonts w:ascii="Garamond" w:hAnsi="Garamond"/>
          <w:color w:val="FF0000"/>
          <w:sz w:val="33"/>
          <w:szCs w:val="33"/>
          <w:lang w:val="it-IT"/>
        </w:rPr>
        <w:t>per ragioni di opportunità o di economia oppure per carenza di potere</w:t>
      </w:r>
      <w:r w:rsidRPr="00263869">
        <w:rPr>
          <w:rFonts w:ascii="Garamond" w:hAnsi="Garamond"/>
          <w:color w:val="3E3F3E"/>
          <w:sz w:val="33"/>
          <w:szCs w:val="33"/>
          <w:lang w:val="it-IT"/>
        </w:rPr>
        <w:t>.</w:t>
      </w:r>
    </w:p>
    <w:p w14:paraId="6B6A3001" w14:textId="77777777" w:rsidR="00263869" w:rsidRPr="00E2325C" w:rsidRDefault="00263869" w:rsidP="00263869">
      <w:pPr>
        <w:pStyle w:val="NormaleWeb"/>
        <w:shd w:val="clear" w:color="auto" w:fill="FAF9F6"/>
        <w:spacing w:line="450" w:lineRule="atLeast"/>
        <w:jc w:val="both"/>
        <w:rPr>
          <w:rFonts w:ascii="Garamond" w:hAnsi="Garamond"/>
          <w:color w:val="FF0000"/>
          <w:sz w:val="33"/>
          <w:szCs w:val="33"/>
          <w:lang w:val="it-IT"/>
        </w:rPr>
      </w:pPr>
      <w:r w:rsidRPr="00263869">
        <w:rPr>
          <w:rFonts w:ascii="Garamond" w:hAnsi="Garamond"/>
          <w:color w:val="3E3F3E"/>
          <w:sz w:val="33"/>
          <w:szCs w:val="33"/>
          <w:lang w:val="it-IT"/>
        </w:rPr>
        <w:lastRenderedPageBreak/>
        <w:t xml:space="preserve">Occorre, infatti, operare una distinzione netta tra le rogatorie “interne”, ispirate alla logica della semplificazione dell’attività giudiziaria, e </w:t>
      </w:r>
      <w:r w:rsidRPr="00E2325C">
        <w:rPr>
          <w:rFonts w:ascii="Garamond" w:hAnsi="Garamond"/>
          <w:color w:val="FF0000"/>
          <w:sz w:val="33"/>
          <w:szCs w:val="33"/>
          <w:lang w:val="it-IT"/>
        </w:rPr>
        <w:t>quelle “internazionali”, che sono caratterizzate, invece, dalla necessità di compiere un atto in territorio straniero, superando i limiti connaturati al principio della sovranità nazionale.</w:t>
      </w:r>
    </w:p>
    <w:p w14:paraId="63C08AF3" w14:textId="77777777" w:rsidR="00263869" w:rsidRPr="00263869" w:rsidRDefault="00263869" w:rsidP="00263869">
      <w:pPr>
        <w:pStyle w:val="NormaleWeb"/>
        <w:shd w:val="clear" w:color="auto" w:fill="FAF9F6"/>
        <w:spacing w:line="450" w:lineRule="atLeast"/>
        <w:jc w:val="both"/>
        <w:rPr>
          <w:rFonts w:ascii="Garamond" w:hAnsi="Garamond"/>
          <w:color w:val="3E3F3E"/>
          <w:sz w:val="33"/>
          <w:szCs w:val="33"/>
          <w:lang w:val="it-IT"/>
        </w:rPr>
      </w:pPr>
      <w:r w:rsidRPr="00263869">
        <w:rPr>
          <w:rFonts w:ascii="Garamond" w:hAnsi="Garamond"/>
          <w:color w:val="3E3F3E"/>
          <w:sz w:val="33"/>
          <w:szCs w:val="33"/>
          <w:lang w:val="it-IT"/>
        </w:rPr>
        <w:t>Nella prima categoria vanno annoverate le ipotesi – previste dal codice di rito – di affidamento ad altra autorità italiana di determinate attività, che risulterebbero eccessivamente onerose se compiute dall’autorità procedente. Si pensi, ad esempio, alla previsione di cui all’art. 127, co. 3, c.p.p., che individua nel magistrato di sorveglianza territorialmente competente l’organo preposto all’audizione del soggetto detenuto o internato al di fuori della circoscrizione del giudice procedente. Analogamente, all’assunzione della testimonianza di agenti diplomatici o di incaricati di missioni diplomatiche all’estero può procedere, ai sensi dell’art. 206 c.p.p., l’autorità consolare del luogo in cui il testimone si trova, che resta comunque autorità dello Stato italiano dotata di poteri giurisdizionali. In tale evenienza, peraltro, le esigenze di attendibilità della prova prevalgono sulle ragioni di economia processuale, atteso che, per espressa disposizione normativa (art. 205, co. 3, c.p.p., richiamato dall’art. 206, co. 1, ult. periodo, c.p.p.), si procede nelle forme ordinarie – e, quindi, la testimonianza va resa dinanzi al giudice procedente – se occorre eseguire ricognizioni, confronti o se ricorrono altre necessità.</w:t>
      </w:r>
    </w:p>
    <w:p w14:paraId="6C9F7E64" w14:textId="77777777" w:rsidR="00263869" w:rsidRPr="00263869" w:rsidRDefault="00263869" w:rsidP="00263869">
      <w:pPr>
        <w:pStyle w:val="NormaleWeb"/>
        <w:shd w:val="clear" w:color="auto" w:fill="FAF9F6"/>
        <w:spacing w:line="450" w:lineRule="atLeast"/>
        <w:jc w:val="both"/>
        <w:rPr>
          <w:rFonts w:ascii="Garamond" w:hAnsi="Garamond"/>
          <w:color w:val="3E3F3E"/>
          <w:sz w:val="33"/>
          <w:szCs w:val="33"/>
          <w:lang w:val="it-IT"/>
        </w:rPr>
      </w:pPr>
      <w:r w:rsidRPr="00263869">
        <w:rPr>
          <w:rFonts w:ascii="Garamond" w:hAnsi="Garamond"/>
          <w:color w:val="3E3F3E"/>
          <w:sz w:val="33"/>
          <w:szCs w:val="33"/>
          <w:lang w:val="it-IT"/>
        </w:rPr>
        <w:t xml:space="preserve">È, tuttavia, evidente che l’istituto della rogatoria trova il suo campo elettivo di applicazione nell’ambito dei rapporti tra Stati diversi: la carenza di potere in ordine al compimento di </w:t>
      </w:r>
      <w:r w:rsidRPr="00E2325C">
        <w:rPr>
          <w:rFonts w:ascii="Garamond" w:hAnsi="Garamond"/>
          <w:color w:val="FF0000"/>
          <w:sz w:val="33"/>
          <w:szCs w:val="33"/>
          <w:lang w:val="it-IT"/>
        </w:rPr>
        <w:t>atti investigativi o processuali</w:t>
      </w:r>
      <w:r w:rsidRPr="00263869">
        <w:rPr>
          <w:rFonts w:ascii="Garamond" w:hAnsi="Garamond"/>
          <w:color w:val="3E3F3E"/>
          <w:sz w:val="33"/>
          <w:szCs w:val="33"/>
          <w:lang w:val="it-IT"/>
        </w:rPr>
        <w:t xml:space="preserve"> al di fuori del territorio nazionale, corollario della rigida applicazione del principio di sovranità, rende indispensabile la previsione di strumenti giuridici di cooperazione giudiziaria.</w:t>
      </w:r>
    </w:p>
    <w:p w14:paraId="3DC0B4AB" w14:textId="77777777" w:rsidR="00263869" w:rsidRPr="00263869" w:rsidRDefault="00263869" w:rsidP="00263869">
      <w:pPr>
        <w:pStyle w:val="NormaleWeb"/>
        <w:shd w:val="clear" w:color="auto" w:fill="FAF9F6"/>
        <w:spacing w:line="450" w:lineRule="atLeast"/>
        <w:jc w:val="both"/>
        <w:rPr>
          <w:rFonts w:ascii="Garamond" w:hAnsi="Garamond"/>
          <w:color w:val="3E3F3E"/>
          <w:sz w:val="33"/>
          <w:szCs w:val="33"/>
          <w:lang w:val="it-IT"/>
        </w:rPr>
      </w:pPr>
      <w:r w:rsidRPr="00263869">
        <w:rPr>
          <w:rFonts w:ascii="Garamond" w:hAnsi="Garamond"/>
          <w:color w:val="3E3F3E"/>
          <w:sz w:val="33"/>
          <w:szCs w:val="33"/>
          <w:lang w:val="it-IT"/>
        </w:rPr>
        <w:lastRenderedPageBreak/>
        <w:t xml:space="preserve">Appare opportuno, infine, </w:t>
      </w:r>
      <w:r w:rsidRPr="00E2325C">
        <w:rPr>
          <w:rFonts w:ascii="Garamond" w:hAnsi="Garamond"/>
          <w:color w:val="FF0000"/>
          <w:sz w:val="33"/>
          <w:szCs w:val="33"/>
          <w:lang w:val="it-IT"/>
        </w:rPr>
        <w:t xml:space="preserve">distinguere la rogatoria dalla delega, </w:t>
      </w:r>
      <w:r w:rsidRPr="00263869">
        <w:rPr>
          <w:rFonts w:ascii="Garamond" w:hAnsi="Garamond"/>
          <w:color w:val="3E3F3E"/>
          <w:sz w:val="33"/>
          <w:szCs w:val="33"/>
          <w:lang w:val="it-IT"/>
        </w:rPr>
        <w:t>che implica un rapporto di subalternità del delegato – poiché chi delega trasferisce ad altri l’esercizio di potestà o facoltà di cui resta titolare, conservando poteri di direttiva, di sorveglianza e di avocazione – ed è, quindi, assolutamente «estranea ad un atto che si compie tra due sovranità» (v. Laslocky, P., </w:t>
      </w:r>
      <w:r w:rsidRPr="00263869">
        <w:rPr>
          <w:rFonts w:ascii="Garamond" w:hAnsi="Garamond"/>
          <w:i/>
          <w:iCs/>
          <w:color w:val="3E3F3E"/>
          <w:sz w:val="33"/>
          <w:szCs w:val="33"/>
          <w:lang w:val="it-IT"/>
        </w:rPr>
        <w:t>Rogatoria - dir. proc. pen.</w:t>
      </w:r>
      <w:r w:rsidRPr="00263869">
        <w:rPr>
          <w:rFonts w:ascii="Garamond" w:hAnsi="Garamond"/>
          <w:color w:val="3E3F3E"/>
          <w:sz w:val="33"/>
          <w:szCs w:val="33"/>
          <w:lang w:val="it-IT"/>
        </w:rPr>
        <w:t>, in </w:t>
      </w:r>
      <w:r w:rsidRPr="00263869">
        <w:rPr>
          <w:rFonts w:ascii="Garamond" w:hAnsi="Garamond"/>
          <w:i/>
          <w:iCs/>
          <w:color w:val="3E3F3E"/>
          <w:sz w:val="33"/>
          <w:szCs w:val="33"/>
          <w:lang w:val="it-IT"/>
        </w:rPr>
        <w:t>Enc. dir</w:t>
      </w:r>
      <w:r w:rsidRPr="00263869">
        <w:rPr>
          <w:rFonts w:ascii="Garamond" w:hAnsi="Garamond"/>
          <w:color w:val="3E3F3E"/>
          <w:sz w:val="33"/>
          <w:szCs w:val="33"/>
          <w:lang w:val="it-IT"/>
        </w:rPr>
        <w:t>., XLI, Milano, 1989, 121; De Marsico, A., </w:t>
      </w:r>
      <w:r w:rsidRPr="00263869">
        <w:rPr>
          <w:rFonts w:ascii="Garamond" w:hAnsi="Garamond"/>
          <w:i/>
          <w:iCs/>
          <w:color w:val="3E3F3E"/>
          <w:sz w:val="33"/>
          <w:szCs w:val="33"/>
          <w:lang w:val="it-IT"/>
        </w:rPr>
        <w:t>Diritto processuale penale</w:t>
      </w:r>
      <w:r w:rsidRPr="00263869">
        <w:rPr>
          <w:rFonts w:ascii="Garamond" w:hAnsi="Garamond"/>
          <w:color w:val="3E3F3E"/>
          <w:sz w:val="33"/>
          <w:szCs w:val="33"/>
          <w:lang w:val="it-IT"/>
        </w:rPr>
        <w:t>, Napoli, 1966, 14).</w:t>
      </w:r>
    </w:p>
    <w:p w14:paraId="24DFE528" w14:textId="77777777" w:rsidR="00263869" w:rsidRPr="00263869" w:rsidRDefault="00263869" w:rsidP="00263869">
      <w:pPr>
        <w:pStyle w:val="NormaleWeb"/>
        <w:shd w:val="clear" w:color="auto" w:fill="FAF9F6"/>
        <w:spacing w:line="450" w:lineRule="atLeast"/>
        <w:jc w:val="both"/>
        <w:rPr>
          <w:rFonts w:ascii="Garamond" w:hAnsi="Garamond"/>
          <w:color w:val="3E3F3E"/>
          <w:sz w:val="33"/>
          <w:szCs w:val="33"/>
          <w:lang w:val="it-IT"/>
        </w:rPr>
      </w:pPr>
      <w:r w:rsidRPr="00263869">
        <w:rPr>
          <w:rFonts w:ascii="Garamond" w:hAnsi="Garamond"/>
          <w:color w:val="3E3F3E"/>
          <w:sz w:val="33"/>
          <w:szCs w:val="33"/>
          <w:lang w:val="it-IT"/>
        </w:rPr>
        <w:t>La progressiva tendenza ad elidere le barriere nazionali, soprattutto in ambito macroregionale, rende sempre più pressante l’esigenza di predisporre adeguati strumenti giuridici di contrasto al crimine transnazionale, inducendo i singoli Stati alla cooperazione anche attraverso sensibili limitazioni degli ambiti autarchici (sul punto, v. Pisani, M., </w:t>
      </w:r>
      <w:r w:rsidRPr="00263869">
        <w:rPr>
          <w:rFonts w:ascii="Garamond" w:hAnsi="Garamond"/>
          <w:i/>
          <w:iCs/>
          <w:color w:val="3E3F3E"/>
          <w:sz w:val="33"/>
          <w:szCs w:val="33"/>
          <w:lang w:val="it-IT"/>
        </w:rPr>
        <w:t>Criminalità organizzata e cooperazione internazionale</w:t>
      </w:r>
      <w:r w:rsidRPr="00263869">
        <w:rPr>
          <w:rFonts w:ascii="Garamond" w:hAnsi="Garamond"/>
          <w:color w:val="3E3F3E"/>
          <w:sz w:val="33"/>
          <w:szCs w:val="33"/>
          <w:lang w:val="it-IT"/>
        </w:rPr>
        <w:t>, in </w:t>
      </w:r>
      <w:r w:rsidRPr="00263869">
        <w:rPr>
          <w:rFonts w:ascii="Garamond" w:hAnsi="Garamond"/>
          <w:i/>
          <w:iCs/>
          <w:color w:val="3E3F3E"/>
          <w:sz w:val="33"/>
          <w:szCs w:val="33"/>
          <w:lang w:val="it-IT"/>
        </w:rPr>
        <w:t>Riv. it. dir. proc. pen.</w:t>
      </w:r>
      <w:r w:rsidRPr="00263869">
        <w:rPr>
          <w:rFonts w:ascii="Garamond" w:hAnsi="Garamond"/>
          <w:color w:val="3E3F3E"/>
          <w:sz w:val="33"/>
          <w:szCs w:val="33"/>
          <w:lang w:val="it-IT"/>
        </w:rPr>
        <w:t>, 1998, 703 ss.).</w:t>
      </w:r>
    </w:p>
    <w:p w14:paraId="3C66EBA0" w14:textId="77777777" w:rsidR="00263869" w:rsidRPr="00263869" w:rsidRDefault="00263869" w:rsidP="00263869">
      <w:pPr>
        <w:pStyle w:val="NormaleWeb"/>
        <w:shd w:val="clear" w:color="auto" w:fill="FAF9F6"/>
        <w:spacing w:line="450" w:lineRule="atLeast"/>
        <w:jc w:val="both"/>
        <w:rPr>
          <w:rFonts w:ascii="Garamond" w:hAnsi="Garamond"/>
          <w:color w:val="3E3F3E"/>
          <w:sz w:val="33"/>
          <w:szCs w:val="33"/>
          <w:lang w:val="it-IT"/>
        </w:rPr>
      </w:pPr>
      <w:r w:rsidRPr="00263869">
        <w:rPr>
          <w:rFonts w:ascii="Garamond" w:hAnsi="Garamond"/>
          <w:color w:val="3E3F3E"/>
          <w:sz w:val="33"/>
          <w:szCs w:val="33"/>
          <w:lang w:val="it-IT"/>
        </w:rPr>
        <w:t xml:space="preserve">Tra gli strumenti privilegiati di cooperazione internazionale in materia penale vi sono proprio le rogatorie, la cui precipua finalità è quella di consentire la circolazione di </w:t>
      </w:r>
      <w:r w:rsidRPr="00E2325C">
        <w:rPr>
          <w:rFonts w:ascii="Garamond" w:hAnsi="Garamond"/>
          <w:color w:val="FF0000"/>
          <w:sz w:val="33"/>
          <w:szCs w:val="33"/>
          <w:lang w:val="it-IT"/>
        </w:rPr>
        <w:t>atti processuali compiuti all’estero e destinati a produrre effetti in altro ordinamento.</w:t>
      </w:r>
    </w:p>
    <w:p w14:paraId="536A2686" w14:textId="77777777" w:rsidR="00263869" w:rsidRPr="00263869" w:rsidRDefault="00263869" w:rsidP="00263869">
      <w:pPr>
        <w:pStyle w:val="NormaleWeb"/>
        <w:shd w:val="clear" w:color="auto" w:fill="FAF9F6"/>
        <w:spacing w:line="450" w:lineRule="atLeast"/>
        <w:jc w:val="both"/>
        <w:rPr>
          <w:rFonts w:ascii="Garamond" w:hAnsi="Garamond"/>
          <w:color w:val="3E3F3E"/>
          <w:sz w:val="33"/>
          <w:szCs w:val="33"/>
          <w:lang w:val="it-IT"/>
        </w:rPr>
      </w:pPr>
      <w:r w:rsidRPr="00263869">
        <w:rPr>
          <w:rFonts w:ascii="Garamond" w:hAnsi="Garamond"/>
          <w:color w:val="3E3F3E"/>
          <w:sz w:val="33"/>
          <w:szCs w:val="33"/>
          <w:lang w:val="it-IT"/>
        </w:rPr>
        <w:t xml:space="preserve">Le rogatorie – come già anticipato – </w:t>
      </w:r>
      <w:r w:rsidRPr="00541D37">
        <w:rPr>
          <w:rFonts w:ascii="Garamond" w:hAnsi="Garamond"/>
          <w:color w:val="FF0000"/>
          <w:sz w:val="33"/>
          <w:szCs w:val="33"/>
          <w:lang w:val="it-IT"/>
        </w:rPr>
        <w:t>si distinguono in attive e passive</w:t>
      </w:r>
      <w:r w:rsidRPr="00263869">
        <w:rPr>
          <w:rFonts w:ascii="Garamond" w:hAnsi="Garamond"/>
          <w:color w:val="3E3F3E"/>
          <w:sz w:val="33"/>
          <w:szCs w:val="33"/>
          <w:lang w:val="it-IT"/>
        </w:rPr>
        <w:t>, a seconda che la richiesta di compimento dell’atto provenga dall’autorità giudiziaria italiana o da quella straniera.</w:t>
      </w:r>
    </w:p>
    <w:p w14:paraId="2A54D4DF" w14:textId="77777777" w:rsidR="00263869" w:rsidRPr="00541D37" w:rsidRDefault="00263869" w:rsidP="00263869">
      <w:pPr>
        <w:pStyle w:val="NormaleWeb"/>
        <w:shd w:val="clear" w:color="auto" w:fill="FAF9F6"/>
        <w:spacing w:line="450" w:lineRule="atLeast"/>
        <w:jc w:val="both"/>
        <w:rPr>
          <w:rFonts w:ascii="Garamond" w:hAnsi="Garamond"/>
          <w:color w:val="FF0000"/>
          <w:sz w:val="33"/>
          <w:szCs w:val="33"/>
          <w:lang w:val="it-IT"/>
        </w:rPr>
      </w:pPr>
      <w:r w:rsidRPr="00263869">
        <w:rPr>
          <w:rFonts w:ascii="Garamond" w:hAnsi="Garamond"/>
          <w:color w:val="3E3F3E"/>
          <w:sz w:val="33"/>
          <w:szCs w:val="33"/>
          <w:lang w:val="it-IT"/>
        </w:rPr>
        <w:t>Occorre ancora distinguere, in base all’</w:t>
      </w:r>
      <w:r w:rsidRPr="00541D37">
        <w:rPr>
          <w:rFonts w:ascii="Garamond" w:hAnsi="Garamond"/>
          <w:color w:val="FF0000"/>
          <w:sz w:val="33"/>
          <w:szCs w:val="33"/>
          <w:lang w:val="it-IT"/>
        </w:rPr>
        <w:t>oggetto della richiesta</w:t>
      </w:r>
      <w:r w:rsidRPr="00263869">
        <w:rPr>
          <w:rFonts w:ascii="Garamond" w:hAnsi="Garamond"/>
          <w:color w:val="3E3F3E"/>
          <w:sz w:val="33"/>
          <w:szCs w:val="33"/>
          <w:lang w:val="it-IT"/>
        </w:rPr>
        <w:t>, la rogatoria disposta per l’</w:t>
      </w:r>
      <w:r w:rsidRPr="00541D37">
        <w:rPr>
          <w:rFonts w:ascii="Garamond" w:hAnsi="Garamond"/>
          <w:color w:val="FF0000"/>
          <w:sz w:val="33"/>
          <w:szCs w:val="33"/>
          <w:lang w:val="it-IT"/>
        </w:rPr>
        <w:t>acquisizione di elementi di prova precostituiti</w:t>
      </w:r>
      <w:r w:rsidRPr="00263869">
        <w:rPr>
          <w:rFonts w:ascii="Garamond" w:hAnsi="Garamond"/>
          <w:color w:val="3E3F3E"/>
          <w:sz w:val="33"/>
          <w:szCs w:val="33"/>
          <w:lang w:val="it-IT"/>
        </w:rPr>
        <w:t xml:space="preserve"> – ovvero già formati prima della richiesta – e quella volta a sollecitare </w:t>
      </w:r>
      <w:r w:rsidRPr="00541D37">
        <w:rPr>
          <w:rFonts w:ascii="Garamond" w:hAnsi="Garamond"/>
          <w:color w:val="FF0000"/>
          <w:sz w:val="33"/>
          <w:szCs w:val="33"/>
          <w:lang w:val="it-IT"/>
        </w:rPr>
        <w:t>lo svolgimento di attività processuali destinate proprio alla formazione degli elementi di prova.</w:t>
      </w:r>
    </w:p>
    <w:p w14:paraId="137741F6" w14:textId="77777777" w:rsidR="00263869" w:rsidRPr="00263869" w:rsidRDefault="00263869" w:rsidP="00263869">
      <w:pPr>
        <w:pStyle w:val="Titolo2"/>
        <w:shd w:val="clear" w:color="auto" w:fill="FAF9F6"/>
        <w:spacing w:before="450" w:after="450" w:line="390" w:lineRule="atLeast"/>
        <w:jc w:val="both"/>
        <w:rPr>
          <w:rFonts w:ascii="Montserrat" w:hAnsi="Montserrat"/>
          <w:caps/>
          <w:color w:val="3E3F3E"/>
          <w:sz w:val="32"/>
          <w:szCs w:val="32"/>
          <w:lang w:val="it-IT"/>
        </w:rPr>
      </w:pPr>
      <w:r w:rsidRPr="00263869">
        <w:rPr>
          <w:rStyle w:val="mw-headline"/>
          <w:rFonts w:ascii="Montserrat" w:hAnsi="Montserrat"/>
          <w:caps/>
          <w:color w:val="3E3F3E"/>
          <w:sz w:val="32"/>
          <w:szCs w:val="32"/>
          <w:lang w:val="it-IT"/>
        </w:rPr>
        <w:lastRenderedPageBreak/>
        <w:t>LA DISCIPLINA DELLE ROGATORIE</w:t>
      </w:r>
    </w:p>
    <w:p w14:paraId="612A30C3" w14:textId="77777777" w:rsidR="00263869" w:rsidRPr="00263869" w:rsidRDefault="00263869" w:rsidP="00263869">
      <w:pPr>
        <w:pStyle w:val="NormaleWeb"/>
        <w:shd w:val="clear" w:color="auto" w:fill="FAF9F6"/>
        <w:spacing w:line="450" w:lineRule="atLeast"/>
        <w:jc w:val="both"/>
        <w:rPr>
          <w:rFonts w:ascii="Garamond" w:hAnsi="Garamond"/>
          <w:color w:val="3E3F3E"/>
          <w:sz w:val="33"/>
          <w:szCs w:val="33"/>
          <w:lang w:val="it-IT"/>
        </w:rPr>
      </w:pPr>
      <w:r w:rsidRPr="00263869">
        <w:rPr>
          <w:rFonts w:ascii="Garamond" w:hAnsi="Garamond"/>
          <w:color w:val="3E3F3E"/>
          <w:sz w:val="33"/>
          <w:szCs w:val="33"/>
          <w:lang w:val="it-IT"/>
        </w:rPr>
        <w:t>La necessità di acquisire elementi di prova o di compiere determinate attività processuali all’estero inevitabilmente obbliga l’autorità procedente – stante il principio di territorialità della giurisdizione – ad invocare la cooperazione di organi di altro Stato sovrano.</w:t>
      </w:r>
    </w:p>
    <w:p w14:paraId="2A9DA419" w14:textId="77777777" w:rsidR="00263869" w:rsidRPr="00263869" w:rsidRDefault="00263869" w:rsidP="00263869">
      <w:pPr>
        <w:pStyle w:val="NormaleWeb"/>
        <w:shd w:val="clear" w:color="auto" w:fill="FAF9F6"/>
        <w:spacing w:line="450" w:lineRule="atLeast"/>
        <w:jc w:val="both"/>
        <w:rPr>
          <w:rFonts w:ascii="Garamond" w:hAnsi="Garamond"/>
          <w:color w:val="3E3F3E"/>
          <w:sz w:val="33"/>
          <w:szCs w:val="33"/>
          <w:lang w:val="it-IT"/>
        </w:rPr>
      </w:pPr>
      <w:r w:rsidRPr="00263869">
        <w:rPr>
          <w:rFonts w:ascii="Garamond" w:hAnsi="Garamond"/>
          <w:color w:val="3E3F3E"/>
          <w:sz w:val="33"/>
          <w:szCs w:val="33"/>
          <w:lang w:val="it-IT"/>
        </w:rPr>
        <w:t xml:space="preserve">La disciplina delle rogatorie è strutturata, pertanto, su base consensualistica, nel senso che – </w:t>
      </w:r>
      <w:r w:rsidRPr="00541D37">
        <w:rPr>
          <w:rFonts w:ascii="Garamond" w:hAnsi="Garamond"/>
          <w:color w:val="FF0000"/>
          <w:sz w:val="33"/>
          <w:szCs w:val="33"/>
          <w:lang w:val="it-IT"/>
        </w:rPr>
        <w:t>non essendovi un principio consuetudinario di diritto internazionale che impone la collaborazione reciproca in materia penale</w:t>
      </w:r>
      <w:r w:rsidRPr="00263869">
        <w:rPr>
          <w:rFonts w:ascii="Garamond" w:hAnsi="Garamond"/>
          <w:color w:val="3E3F3E"/>
          <w:sz w:val="33"/>
          <w:szCs w:val="33"/>
          <w:lang w:val="it-IT"/>
        </w:rPr>
        <w:t xml:space="preserve"> (v. Daraio, G., </w:t>
      </w:r>
      <w:r w:rsidRPr="00263869">
        <w:rPr>
          <w:rFonts w:ascii="Garamond" w:hAnsi="Garamond"/>
          <w:i/>
          <w:iCs/>
          <w:color w:val="3E3F3E"/>
          <w:sz w:val="33"/>
          <w:szCs w:val="33"/>
          <w:lang w:val="it-IT"/>
        </w:rPr>
        <w:t>La circolazione della prova nello spazio giudiziario europeo</w:t>
      </w:r>
      <w:r w:rsidRPr="00263869">
        <w:rPr>
          <w:rFonts w:ascii="Garamond" w:hAnsi="Garamond"/>
          <w:color w:val="3E3F3E"/>
          <w:sz w:val="33"/>
          <w:szCs w:val="33"/>
          <w:lang w:val="it-IT"/>
        </w:rPr>
        <w:t>, in </w:t>
      </w:r>
      <w:r w:rsidRPr="00263869">
        <w:rPr>
          <w:rFonts w:ascii="Garamond" w:hAnsi="Garamond"/>
          <w:i/>
          <w:iCs/>
          <w:color w:val="3E3F3E"/>
          <w:sz w:val="33"/>
          <w:szCs w:val="33"/>
          <w:lang w:val="it-IT"/>
        </w:rPr>
        <w:t>«Spazio europeo di giustizia» e procedimento penale italiano</w:t>
      </w:r>
      <w:r w:rsidRPr="00263869">
        <w:rPr>
          <w:rFonts w:ascii="Garamond" w:hAnsi="Garamond"/>
          <w:color w:val="3E3F3E"/>
          <w:sz w:val="33"/>
          <w:szCs w:val="33"/>
          <w:lang w:val="it-IT"/>
        </w:rPr>
        <w:t>, a cura di L. Kalb, Torino, 2012, 539) – occorre un accordo con il quale i singoli Stati convengono reciprocità di assistenza.</w:t>
      </w:r>
    </w:p>
    <w:p w14:paraId="7CAD2533" w14:textId="77777777" w:rsidR="00263869" w:rsidRPr="00263869" w:rsidRDefault="00263869" w:rsidP="00263869">
      <w:pPr>
        <w:pStyle w:val="NormaleWeb"/>
        <w:shd w:val="clear" w:color="auto" w:fill="FAF9F6"/>
        <w:spacing w:line="450" w:lineRule="atLeast"/>
        <w:jc w:val="both"/>
        <w:rPr>
          <w:rFonts w:ascii="Garamond" w:hAnsi="Garamond"/>
          <w:color w:val="3E3F3E"/>
          <w:sz w:val="33"/>
          <w:szCs w:val="33"/>
          <w:lang w:val="it-IT"/>
        </w:rPr>
      </w:pPr>
      <w:r w:rsidRPr="00263869">
        <w:rPr>
          <w:rFonts w:ascii="Garamond" w:hAnsi="Garamond"/>
          <w:color w:val="3E3F3E"/>
          <w:sz w:val="33"/>
          <w:szCs w:val="33"/>
          <w:lang w:val="it-IT"/>
        </w:rPr>
        <w:t>Non a caso, le principali fonti di disciplina si rinvengono nelle Convenzioni internazionali che regolano i rapporti tra gli Stati firmatari, mentre le disposizioni interne – come espressamente stabilito dall’art. 696, co. 2, c.p.p. in relazione a tutti gli strumenti di cooperazione internazionale – assumono valenza meramente residuale o suppletiva.</w:t>
      </w:r>
    </w:p>
    <w:p w14:paraId="197918BB" w14:textId="77777777" w:rsidR="00263869" w:rsidRPr="00263869" w:rsidRDefault="00263869" w:rsidP="00263869">
      <w:pPr>
        <w:pStyle w:val="Titolo2"/>
        <w:shd w:val="clear" w:color="auto" w:fill="FAF9F6"/>
        <w:spacing w:before="450" w:after="450" w:line="390" w:lineRule="atLeast"/>
        <w:jc w:val="both"/>
        <w:rPr>
          <w:rFonts w:ascii="Montserrat" w:hAnsi="Montserrat"/>
          <w:caps/>
          <w:color w:val="3E3F3E"/>
          <w:sz w:val="32"/>
          <w:szCs w:val="32"/>
          <w:lang w:val="it-IT"/>
        </w:rPr>
      </w:pPr>
      <w:r w:rsidRPr="00263869">
        <w:rPr>
          <w:rStyle w:val="mw-headline"/>
          <w:rFonts w:ascii="Montserrat" w:hAnsi="Montserrat"/>
          <w:caps/>
          <w:color w:val="3E3F3E"/>
          <w:sz w:val="32"/>
          <w:szCs w:val="32"/>
          <w:lang w:val="it-IT"/>
        </w:rPr>
        <w:t>LA ROGATORIA PASSIVA</w:t>
      </w:r>
    </w:p>
    <w:p w14:paraId="55B67382" w14:textId="77777777" w:rsidR="00263869" w:rsidRPr="00263869" w:rsidRDefault="00263869" w:rsidP="00263869">
      <w:pPr>
        <w:pStyle w:val="Titolo3"/>
        <w:shd w:val="clear" w:color="auto" w:fill="FAF9F6"/>
        <w:spacing w:before="450" w:after="450" w:line="390" w:lineRule="atLeast"/>
        <w:jc w:val="both"/>
        <w:rPr>
          <w:rFonts w:ascii="Montserrat" w:hAnsi="Montserrat"/>
          <w:color w:val="3E3F3E"/>
          <w:sz w:val="27"/>
          <w:szCs w:val="27"/>
          <w:lang w:val="it-IT"/>
        </w:rPr>
      </w:pPr>
      <w:r w:rsidRPr="00263869">
        <w:rPr>
          <w:rStyle w:val="mw-headline"/>
          <w:rFonts w:ascii="Montserrat" w:hAnsi="Montserrat"/>
          <w:color w:val="3E3F3E"/>
          <w:lang w:val="it-IT"/>
        </w:rPr>
        <w:t>Il ruolo del ministro della giustizia</w:t>
      </w:r>
    </w:p>
    <w:p w14:paraId="537A1732" w14:textId="77777777" w:rsidR="00263869" w:rsidRPr="00263869" w:rsidRDefault="00263869" w:rsidP="00263869">
      <w:pPr>
        <w:pStyle w:val="NormaleWeb"/>
        <w:shd w:val="clear" w:color="auto" w:fill="FAF9F6"/>
        <w:spacing w:line="450" w:lineRule="atLeast"/>
        <w:jc w:val="both"/>
        <w:rPr>
          <w:rFonts w:ascii="Garamond" w:hAnsi="Garamond"/>
          <w:color w:val="3E3F3E"/>
          <w:sz w:val="33"/>
          <w:szCs w:val="33"/>
          <w:lang w:val="it-IT"/>
        </w:rPr>
      </w:pPr>
      <w:r w:rsidRPr="00263869">
        <w:rPr>
          <w:rFonts w:ascii="Garamond" w:hAnsi="Garamond"/>
          <w:color w:val="3E3F3E"/>
          <w:sz w:val="33"/>
          <w:szCs w:val="33"/>
          <w:lang w:val="it-IT"/>
        </w:rPr>
        <w:t>La rogatoria internazionale passiva consente alle autorità estere di ottenere, per lo svolgimento di attività istruttorie o meramente strumentali, la cooperazione delle autorità italiane. Il procedimento si articola in due fasi: una di carattere politico-amministrativo, affidata al ministro della giustizia; l’altra, di natura giurisdizionale, la cui gestione rientra nella competenza funzionale della corte di appello o del giudice per le indagini preliminari, a seconda della tipologia di attività da espletare.</w:t>
      </w:r>
    </w:p>
    <w:p w14:paraId="0DD8B242" w14:textId="77777777" w:rsidR="00263869" w:rsidRPr="00263869" w:rsidRDefault="00263869" w:rsidP="00263869">
      <w:pPr>
        <w:pStyle w:val="NormaleWeb"/>
        <w:shd w:val="clear" w:color="auto" w:fill="FAF9F6"/>
        <w:spacing w:line="450" w:lineRule="atLeast"/>
        <w:jc w:val="both"/>
        <w:rPr>
          <w:rFonts w:ascii="Garamond" w:hAnsi="Garamond"/>
          <w:color w:val="3E3F3E"/>
          <w:sz w:val="33"/>
          <w:szCs w:val="33"/>
          <w:lang w:val="it-IT"/>
        </w:rPr>
      </w:pPr>
      <w:r w:rsidRPr="00263869">
        <w:rPr>
          <w:rFonts w:ascii="Garamond" w:hAnsi="Garamond"/>
          <w:color w:val="3E3F3E"/>
          <w:sz w:val="33"/>
          <w:szCs w:val="33"/>
          <w:lang w:val="it-IT"/>
        </w:rPr>
        <w:lastRenderedPageBreak/>
        <w:t>La fase ministeriale – finalizzata ad assicurare un vaglio preventivo di ammissibilità sullo svolgimento dell’attività richiesta – si giustifica con la necessità di subordinare l’esecuzione della rogatoria alla verifica dell’insussistenza di pregiudizi in danno di interessi fondamentali dello Stato o, comunque, a valutazioni di opportunità politica.</w:t>
      </w:r>
    </w:p>
    <w:p w14:paraId="4D3B4054" w14:textId="77777777" w:rsidR="00263869" w:rsidRPr="00263869" w:rsidRDefault="00263869" w:rsidP="00263869">
      <w:pPr>
        <w:pStyle w:val="NormaleWeb"/>
        <w:shd w:val="clear" w:color="auto" w:fill="FAF9F6"/>
        <w:spacing w:line="450" w:lineRule="atLeast"/>
        <w:jc w:val="both"/>
        <w:rPr>
          <w:rFonts w:ascii="Garamond" w:hAnsi="Garamond"/>
          <w:color w:val="3E3F3E"/>
          <w:sz w:val="33"/>
          <w:szCs w:val="33"/>
          <w:lang w:val="it-IT"/>
        </w:rPr>
      </w:pPr>
      <w:r w:rsidRPr="00263869">
        <w:rPr>
          <w:rFonts w:ascii="Garamond" w:hAnsi="Garamond"/>
          <w:color w:val="3E3F3E"/>
          <w:sz w:val="33"/>
          <w:szCs w:val="33"/>
          <w:lang w:val="it-IT"/>
        </w:rPr>
        <w:t xml:space="preserve">In primo luogo, </w:t>
      </w:r>
      <w:r w:rsidRPr="00541D37">
        <w:rPr>
          <w:rFonts w:ascii="Garamond" w:hAnsi="Garamond"/>
          <w:color w:val="FF0000"/>
          <w:sz w:val="33"/>
          <w:szCs w:val="33"/>
          <w:lang w:val="it-IT"/>
        </w:rPr>
        <w:t>il ministro della giustizia può rifiutarsi di dare corso alla richiesta di assistenza – così come previsto dall’art. 723, co. 1, c.p.p. – allorché «ritenga che gli atti richiesti compromettano la sovranità, la sicurezza o altri interessi essenziali dello Stato».</w:t>
      </w:r>
      <w:r w:rsidRPr="00263869">
        <w:rPr>
          <w:rFonts w:ascii="Garamond" w:hAnsi="Garamond"/>
          <w:color w:val="3E3F3E"/>
          <w:sz w:val="33"/>
          <w:szCs w:val="33"/>
          <w:lang w:val="it-IT"/>
        </w:rPr>
        <w:t xml:space="preserve"> D’altra parte, la determinazione ministeriale – di natura discrezionale (Zappalà, E., </w:t>
      </w:r>
      <w:r w:rsidRPr="00263869">
        <w:rPr>
          <w:rFonts w:ascii="Garamond" w:hAnsi="Garamond"/>
          <w:i/>
          <w:iCs/>
          <w:color w:val="3E3F3E"/>
          <w:sz w:val="33"/>
          <w:szCs w:val="33"/>
          <w:lang w:val="it-IT"/>
        </w:rPr>
        <w:t>Gli istituti di cooperazione giudiziaria internazionale</w:t>
      </w:r>
      <w:r w:rsidRPr="00263869">
        <w:rPr>
          <w:rFonts w:ascii="Garamond" w:hAnsi="Garamond"/>
          <w:color w:val="3E3F3E"/>
          <w:sz w:val="33"/>
          <w:szCs w:val="33"/>
          <w:lang w:val="it-IT"/>
        </w:rPr>
        <w:t>, in Siracusano, D.-Galati, A.-Tranchina, G.-Zappalà, E., </w:t>
      </w:r>
      <w:r w:rsidRPr="00263869">
        <w:rPr>
          <w:rFonts w:ascii="Garamond" w:hAnsi="Garamond"/>
          <w:i/>
          <w:iCs/>
          <w:color w:val="3E3F3E"/>
          <w:sz w:val="33"/>
          <w:szCs w:val="33"/>
          <w:lang w:val="it-IT"/>
        </w:rPr>
        <w:t>Diritto processuale penale</w:t>
      </w:r>
      <w:r w:rsidRPr="00263869">
        <w:rPr>
          <w:rFonts w:ascii="Garamond" w:hAnsi="Garamond"/>
          <w:color w:val="3E3F3E"/>
          <w:sz w:val="33"/>
          <w:szCs w:val="33"/>
          <w:lang w:val="it-IT"/>
        </w:rPr>
        <w:t xml:space="preserve">, II, Milano, 2006, 709) e riconducibile alla categoria degli atti di alta amministrazione – non incontra alcun limite, </w:t>
      </w:r>
      <w:r w:rsidRPr="00541D37">
        <w:rPr>
          <w:rFonts w:ascii="Garamond" w:hAnsi="Garamond"/>
          <w:color w:val="FF0000"/>
          <w:sz w:val="33"/>
          <w:szCs w:val="33"/>
          <w:lang w:val="it-IT"/>
        </w:rPr>
        <w:t>non essendo previsto in merito – né consentito – alcun sindacato giurisdizionale</w:t>
      </w:r>
      <w:r w:rsidRPr="00263869">
        <w:rPr>
          <w:rFonts w:ascii="Garamond" w:hAnsi="Garamond"/>
          <w:color w:val="3E3F3E"/>
          <w:sz w:val="33"/>
          <w:szCs w:val="33"/>
          <w:lang w:val="it-IT"/>
        </w:rPr>
        <w:t>.</w:t>
      </w:r>
    </w:p>
    <w:p w14:paraId="751FB2C0" w14:textId="77777777" w:rsidR="00263869" w:rsidRPr="00263869" w:rsidRDefault="00263869" w:rsidP="00263869">
      <w:pPr>
        <w:pStyle w:val="NormaleWeb"/>
        <w:shd w:val="clear" w:color="auto" w:fill="FAF9F6"/>
        <w:spacing w:line="450" w:lineRule="atLeast"/>
        <w:jc w:val="both"/>
        <w:rPr>
          <w:rFonts w:ascii="Garamond" w:hAnsi="Garamond"/>
          <w:color w:val="3E3F3E"/>
          <w:sz w:val="33"/>
          <w:szCs w:val="33"/>
          <w:lang w:val="it-IT"/>
        </w:rPr>
      </w:pPr>
      <w:r w:rsidRPr="00263869">
        <w:rPr>
          <w:rFonts w:ascii="Garamond" w:hAnsi="Garamond"/>
          <w:color w:val="3E3F3E"/>
          <w:sz w:val="33"/>
          <w:szCs w:val="33"/>
          <w:lang w:val="it-IT"/>
        </w:rPr>
        <w:t>Analogamente, ai sensi dell’art. 723, co. 4, c.p.p., il ministro ha facoltà di bloccare il corso del procedimento di assistenza quando ritiene – sempre sulla scorta di valutazioni squisitamente politiche – che lo Stato richiedente non fornisca idonee garanzie di reciprocità. I rapporti tra Stati – com’è noto – sono improntati alla mutua collaborazione, sicché la richiamata disposizione chiaramente mira ad impedire indebiti squilibri in tali rapporti.</w:t>
      </w:r>
    </w:p>
    <w:p w14:paraId="5C196097" w14:textId="77777777" w:rsidR="00263869" w:rsidRPr="00263869" w:rsidRDefault="00263869" w:rsidP="00263869">
      <w:pPr>
        <w:pStyle w:val="NormaleWeb"/>
        <w:shd w:val="clear" w:color="auto" w:fill="FAF9F6"/>
        <w:spacing w:line="450" w:lineRule="atLeast"/>
        <w:jc w:val="both"/>
        <w:rPr>
          <w:rFonts w:ascii="Garamond" w:hAnsi="Garamond"/>
          <w:color w:val="3E3F3E"/>
          <w:sz w:val="33"/>
          <w:szCs w:val="33"/>
          <w:lang w:val="it-IT"/>
        </w:rPr>
      </w:pPr>
      <w:r w:rsidRPr="00263869">
        <w:rPr>
          <w:rFonts w:ascii="Garamond" w:hAnsi="Garamond"/>
          <w:color w:val="3E3F3E"/>
          <w:sz w:val="33"/>
          <w:szCs w:val="33"/>
          <w:lang w:val="it-IT"/>
        </w:rPr>
        <w:t>Viceversa, il ministro è chiamato ad esprimere un giudizio “promiscuo” – tra tutela di interessi politici e valutazioni più strettamente giuridiche – quando verifica la sussistenza, almeno </w:t>
      </w:r>
      <w:r w:rsidRPr="00263869">
        <w:rPr>
          <w:rFonts w:ascii="Garamond" w:hAnsi="Garamond"/>
          <w:i/>
          <w:iCs/>
          <w:color w:val="3E3F3E"/>
          <w:sz w:val="33"/>
          <w:szCs w:val="33"/>
          <w:lang w:val="it-IT"/>
        </w:rPr>
        <w:t>prima facie</w:t>
      </w:r>
      <w:r w:rsidRPr="00263869">
        <w:rPr>
          <w:rFonts w:ascii="Garamond" w:hAnsi="Garamond"/>
          <w:color w:val="3E3F3E"/>
          <w:sz w:val="33"/>
          <w:szCs w:val="33"/>
          <w:lang w:val="it-IT"/>
        </w:rPr>
        <w:t xml:space="preserve">, di eventuali influenze discriminatorie in relazione alla razza, alla religione, al sesso, alla nazionalità, alla lingua, alle opinioni politiche e alle condizioni personali o sociali. Anticipando, infatti, un analogo giudizio affidato all’organo giurisdizionale, l’art. 723, co. 2, c.p.p. impone al ministro di non dare corso alla rogatoria per le ragioni indicate, salvo che l’interessato abbia </w:t>
      </w:r>
      <w:r w:rsidRPr="00263869">
        <w:rPr>
          <w:rFonts w:ascii="Garamond" w:hAnsi="Garamond"/>
          <w:color w:val="3E3F3E"/>
          <w:sz w:val="33"/>
          <w:szCs w:val="33"/>
          <w:lang w:val="it-IT"/>
        </w:rPr>
        <w:lastRenderedPageBreak/>
        <w:t>liberamente espresso il suo consenso, peraltro non più revocabile, stante il disposto dell’art. 205 </w:t>
      </w:r>
      <w:r w:rsidRPr="00263869">
        <w:rPr>
          <w:rFonts w:ascii="Garamond" w:hAnsi="Garamond"/>
          <w:i/>
          <w:iCs/>
          <w:color w:val="3E3F3E"/>
          <w:sz w:val="33"/>
          <w:szCs w:val="33"/>
          <w:lang w:val="it-IT"/>
        </w:rPr>
        <w:t>bis</w:t>
      </w:r>
      <w:r w:rsidRPr="00263869">
        <w:rPr>
          <w:rFonts w:ascii="Garamond" w:hAnsi="Garamond"/>
          <w:color w:val="3E3F3E"/>
          <w:sz w:val="33"/>
          <w:szCs w:val="33"/>
          <w:lang w:val="it-IT"/>
        </w:rPr>
        <w:t> disp. att. c.p.p.</w:t>
      </w:r>
    </w:p>
    <w:p w14:paraId="549B6FF9" w14:textId="77777777" w:rsidR="00263869" w:rsidRPr="00263869" w:rsidRDefault="00263869" w:rsidP="00263869">
      <w:pPr>
        <w:pStyle w:val="NormaleWeb"/>
        <w:shd w:val="clear" w:color="auto" w:fill="FAF9F6"/>
        <w:spacing w:line="450" w:lineRule="atLeast"/>
        <w:jc w:val="both"/>
        <w:rPr>
          <w:rFonts w:ascii="Garamond" w:hAnsi="Garamond"/>
          <w:color w:val="3E3F3E"/>
          <w:sz w:val="33"/>
          <w:szCs w:val="33"/>
          <w:lang w:val="it-IT"/>
        </w:rPr>
      </w:pPr>
      <w:r w:rsidRPr="00263869">
        <w:rPr>
          <w:rFonts w:ascii="Garamond" w:hAnsi="Garamond"/>
          <w:color w:val="3E3F3E"/>
          <w:sz w:val="33"/>
          <w:szCs w:val="33"/>
          <w:lang w:val="it-IT"/>
        </w:rPr>
        <w:t>L’art. 723, co. 2, c.p.p. demanda, poi, al ministro una delibazione preliminare in ordine all’eventuale, manifesta contrarietà degli atti richiesti ai principi fondamentali dell’ordinamento giuridico o ad espressi e specifici divieti normativi. Ulteriori condizioni sono imposte dall’art. 723, co. 3, c.p.p. per l’esecuzione delle rogatorie aventi ad oggetto la citazione di testimoni, periti o imputati dinanzi alle autorità straniere, in relazione alle quali il ministro ha facoltà di diniego se lo Stato richiedente non offre adeguate garanzie in ordine all’immunità della persona citata.</w:t>
      </w:r>
    </w:p>
    <w:p w14:paraId="6A238B9B" w14:textId="77777777" w:rsidR="00263869" w:rsidRPr="00263869" w:rsidRDefault="00263869" w:rsidP="00263869">
      <w:pPr>
        <w:pStyle w:val="NormaleWeb"/>
        <w:shd w:val="clear" w:color="auto" w:fill="FAF9F6"/>
        <w:spacing w:line="450" w:lineRule="atLeast"/>
        <w:jc w:val="both"/>
        <w:rPr>
          <w:rFonts w:ascii="Garamond" w:hAnsi="Garamond"/>
          <w:color w:val="3E3F3E"/>
          <w:sz w:val="33"/>
          <w:szCs w:val="33"/>
          <w:lang w:val="it-IT"/>
        </w:rPr>
      </w:pPr>
      <w:r w:rsidRPr="00263869">
        <w:rPr>
          <w:rFonts w:ascii="Garamond" w:hAnsi="Garamond"/>
          <w:color w:val="3E3F3E"/>
          <w:sz w:val="33"/>
          <w:szCs w:val="33"/>
          <w:lang w:val="it-IT"/>
        </w:rPr>
        <w:t>Da quanto sin qui osservato è agevole rilevare che il sindacato del ministro, in alcuni casi, è finalizzato alla tutela di esigenze meramente politiche, mentre si risolve, in altri casi, in una sostanziale anticipazione dell’intervento del giudice.</w:t>
      </w:r>
    </w:p>
    <w:p w14:paraId="70AFA594" w14:textId="77777777" w:rsidR="00263869" w:rsidRPr="00263869" w:rsidRDefault="00263869" w:rsidP="00263869">
      <w:pPr>
        <w:pStyle w:val="NormaleWeb"/>
        <w:shd w:val="clear" w:color="auto" w:fill="FAF9F6"/>
        <w:spacing w:line="450" w:lineRule="atLeast"/>
        <w:jc w:val="both"/>
        <w:rPr>
          <w:rFonts w:ascii="Garamond" w:hAnsi="Garamond"/>
          <w:color w:val="3E3F3E"/>
          <w:sz w:val="33"/>
          <w:szCs w:val="33"/>
          <w:lang w:val="it-IT"/>
        </w:rPr>
      </w:pPr>
      <w:r w:rsidRPr="00263869">
        <w:rPr>
          <w:rFonts w:ascii="Garamond" w:hAnsi="Garamond"/>
          <w:color w:val="3E3F3E"/>
          <w:sz w:val="33"/>
          <w:szCs w:val="33"/>
          <w:lang w:val="it-IT"/>
        </w:rPr>
        <w:t>Il ricorso all’uno o all’altro parametro di valutazione si ripercuote sulla natura dell’atto, determinando un distinto regime di impugnabilità: il diniego motivato dalla compromissione di interessi fondamentali dello Stato non può che qualificarsi come determinazione politica, per sua natura insindacabile, trattandosi di atto di alta amministrazione; negli altri casi di rigetto, invece, il provvedimento ministeriale deve ritenersi censurabile secondo le regole ordinarie.</w:t>
      </w:r>
    </w:p>
    <w:p w14:paraId="1D700AAA" w14:textId="77777777" w:rsidR="00263869" w:rsidRPr="00263869" w:rsidRDefault="00263869" w:rsidP="00263869">
      <w:pPr>
        <w:pStyle w:val="NormaleWeb"/>
        <w:shd w:val="clear" w:color="auto" w:fill="FAF9F6"/>
        <w:spacing w:line="450" w:lineRule="atLeast"/>
        <w:jc w:val="both"/>
        <w:rPr>
          <w:rFonts w:ascii="Garamond" w:hAnsi="Garamond"/>
          <w:color w:val="3E3F3E"/>
          <w:sz w:val="33"/>
          <w:szCs w:val="33"/>
          <w:lang w:val="it-IT"/>
        </w:rPr>
      </w:pPr>
      <w:r w:rsidRPr="00263869">
        <w:rPr>
          <w:rFonts w:ascii="Garamond" w:hAnsi="Garamond"/>
          <w:color w:val="3E3F3E"/>
          <w:sz w:val="33"/>
          <w:szCs w:val="33"/>
          <w:lang w:val="it-IT"/>
        </w:rPr>
        <w:t>È opportuno precisare, infine, che il potere di veto del ministro – essendo funzionale ad un controllo di ammissibilità della richiesta di assistenza proveniente da altro Stato – non incontra alcun limite temporale e può esplicarsi anche quando il giudice competente si è già pronunciato.</w:t>
      </w:r>
    </w:p>
    <w:p w14:paraId="6E55E4CF" w14:textId="77777777" w:rsidR="00263869" w:rsidRPr="00263869" w:rsidRDefault="00263869" w:rsidP="00263869">
      <w:pPr>
        <w:pStyle w:val="Titolo3"/>
        <w:shd w:val="clear" w:color="auto" w:fill="FAF9F6"/>
        <w:spacing w:before="450" w:after="450" w:line="390" w:lineRule="atLeast"/>
        <w:jc w:val="both"/>
        <w:rPr>
          <w:rFonts w:ascii="Montserrat" w:hAnsi="Montserrat"/>
          <w:color w:val="3E3F3E"/>
          <w:sz w:val="27"/>
          <w:szCs w:val="27"/>
          <w:lang w:val="it-IT"/>
        </w:rPr>
      </w:pPr>
      <w:r w:rsidRPr="00263869">
        <w:rPr>
          <w:rStyle w:val="mw-headline"/>
          <w:rFonts w:ascii="Montserrat" w:hAnsi="Montserrat"/>
          <w:color w:val="3E3F3E"/>
          <w:lang w:val="it-IT"/>
        </w:rPr>
        <w:lastRenderedPageBreak/>
        <w:t>Il procedimento giurisdizionale</w:t>
      </w:r>
    </w:p>
    <w:p w14:paraId="7037DD38" w14:textId="77777777" w:rsidR="00263869" w:rsidRPr="00263869" w:rsidRDefault="00263869" w:rsidP="00263869">
      <w:pPr>
        <w:pStyle w:val="NormaleWeb"/>
        <w:shd w:val="clear" w:color="auto" w:fill="FAF9F6"/>
        <w:spacing w:line="450" w:lineRule="atLeast"/>
        <w:jc w:val="both"/>
        <w:rPr>
          <w:rFonts w:ascii="Garamond" w:hAnsi="Garamond"/>
          <w:color w:val="3E3F3E"/>
          <w:sz w:val="33"/>
          <w:szCs w:val="33"/>
          <w:lang w:val="it-IT"/>
        </w:rPr>
      </w:pPr>
      <w:r w:rsidRPr="00263869">
        <w:rPr>
          <w:rFonts w:ascii="Garamond" w:hAnsi="Garamond"/>
          <w:color w:val="3E3F3E"/>
          <w:sz w:val="33"/>
          <w:szCs w:val="33"/>
          <w:lang w:val="it-IT"/>
        </w:rPr>
        <w:t>Superato il filtro politico, la rogatoria viene sottoposta al vaglio della corte di appello territorialmente competente, individuata in quella del luogo in cui deve procedersi al compimento degli atti richiesti. Se tali atti vanno eseguiti in più distretti di corte di appello, spetta alla Corte di cassazione stabilire – con le forme previste per la risoluzione del conflitto di competenza – quale sia giudice competente </w:t>
      </w:r>
      <w:r w:rsidRPr="00263869">
        <w:rPr>
          <w:rFonts w:ascii="Garamond" w:hAnsi="Garamond"/>
          <w:i/>
          <w:iCs/>
          <w:color w:val="3E3F3E"/>
          <w:sz w:val="33"/>
          <w:szCs w:val="33"/>
          <w:lang w:val="it-IT"/>
        </w:rPr>
        <w:t>ratione loci</w:t>
      </w:r>
      <w:r w:rsidRPr="00263869">
        <w:rPr>
          <w:rFonts w:ascii="Garamond" w:hAnsi="Garamond"/>
          <w:color w:val="3E3F3E"/>
          <w:sz w:val="33"/>
          <w:szCs w:val="33"/>
          <w:lang w:val="it-IT"/>
        </w:rPr>
        <w:t>, tenuto conto del numero, della tipologia e della importanza degli atti da compiere. Il principio della precostituzione del giudice – e, in misura più attenuata, quello della naturalità – trova, dunque, adeguata tutela nella previsione di criteri che predeterminano la competenza territoriale, ancorandola al luogo in cui appare più opportuno eseguire la richiesta di cooperazione.</w:t>
      </w:r>
    </w:p>
    <w:p w14:paraId="2A2EAFA5" w14:textId="77777777" w:rsidR="00263869" w:rsidRPr="00263869" w:rsidRDefault="00263869" w:rsidP="00263869">
      <w:pPr>
        <w:pStyle w:val="NormaleWeb"/>
        <w:shd w:val="clear" w:color="auto" w:fill="FAF9F6"/>
        <w:spacing w:line="450" w:lineRule="atLeast"/>
        <w:jc w:val="both"/>
        <w:rPr>
          <w:rFonts w:ascii="Garamond" w:hAnsi="Garamond"/>
          <w:color w:val="3E3F3E"/>
          <w:sz w:val="33"/>
          <w:szCs w:val="33"/>
          <w:lang w:val="it-IT"/>
        </w:rPr>
      </w:pPr>
      <w:r w:rsidRPr="00263869">
        <w:rPr>
          <w:rFonts w:ascii="Garamond" w:hAnsi="Garamond"/>
          <w:color w:val="3E3F3E"/>
          <w:sz w:val="33"/>
          <w:szCs w:val="33"/>
          <w:lang w:val="it-IT"/>
        </w:rPr>
        <w:t>L’unica eccezione alla competenza funzionale della corte di appello è prevista dall’art. 726 </w:t>
      </w:r>
      <w:r w:rsidRPr="00263869">
        <w:rPr>
          <w:rFonts w:ascii="Garamond" w:hAnsi="Garamond"/>
          <w:i/>
          <w:iCs/>
          <w:color w:val="3E3F3E"/>
          <w:sz w:val="33"/>
          <w:szCs w:val="33"/>
          <w:lang w:val="it-IT"/>
        </w:rPr>
        <w:t>ter</w:t>
      </w:r>
      <w:r w:rsidRPr="00263869">
        <w:rPr>
          <w:rFonts w:ascii="Garamond" w:hAnsi="Garamond"/>
          <w:color w:val="3E3F3E"/>
          <w:sz w:val="33"/>
          <w:szCs w:val="33"/>
          <w:lang w:val="it-IT"/>
        </w:rPr>
        <w:t> c.p.p. (introdotto dalla l. 5.10.2001, n. 367), che attribuisce la cognizione al giudice per le indagini preliminari del luogo in cui devono essere compiuti gli atti, qualora la rogatoria provenga da un’autorità amministrativa straniera. Tale disposizione è, però, applicabile – come si evince chiaramente dalla sua formulazione letterale – nei soli casi in cui l’autorità amministrativa richiedente agisca ai fini dell’accertamento di un illecito penale.</w:t>
      </w:r>
    </w:p>
    <w:p w14:paraId="5C1521FC" w14:textId="77777777" w:rsidR="00263869" w:rsidRPr="00263869" w:rsidRDefault="00263869" w:rsidP="00263869">
      <w:pPr>
        <w:pStyle w:val="NormaleWeb"/>
        <w:shd w:val="clear" w:color="auto" w:fill="FAF9F6"/>
        <w:spacing w:line="450" w:lineRule="atLeast"/>
        <w:jc w:val="both"/>
        <w:rPr>
          <w:rFonts w:ascii="Garamond" w:hAnsi="Garamond"/>
          <w:color w:val="3E3F3E"/>
          <w:sz w:val="33"/>
          <w:szCs w:val="33"/>
          <w:lang w:val="it-IT"/>
        </w:rPr>
      </w:pPr>
      <w:r w:rsidRPr="00263869">
        <w:rPr>
          <w:rFonts w:ascii="Garamond" w:hAnsi="Garamond"/>
          <w:color w:val="3E3F3E"/>
          <w:sz w:val="33"/>
          <w:szCs w:val="33"/>
          <w:lang w:val="it-IT"/>
        </w:rPr>
        <w:t>Organo dell’azione è, naturalmente, il pubblico ministero, individuato nel procuratore generale presso la corte di appello competente (o nel procuratore della Repub</w:t>
      </w:r>
      <w:bookmarkStart w:id="0" w:name="_GoBack"/>
      <w:bookmarkEnd w:id="0"/>
      <w:r w:rsidRPr="00263869">
        <w:rPr>
          <w:rFonts w:ascii="Garamond" w:hAnsi="Garamond"/>
          <w:color w:val="3E3F3E"/>
          <w:sz w:val="33"/>
          <w:szCs w:val="33"/>
          <w:lang w:val="it-IT"/>
        </w:rPr>
        <w:t>blica presso il tribunale ordinario cui afferisce il giudice per le indagini preliminari, nel caso di cui all’art. 726 </w:t>
      </w:r>
      <w:r w:rsidRPr="00263869">
        <w:rPr>
          <w:rFonts w:ascii="Garamond" w:hAnsi="Garamond"/>
          <w:i/>
          <w:iCs/>
          <w:color w:val="3E3F3E"/>
          <w:sz w:val="33"/>
          <w:szCs w:val="33"/>
          <w:lang w:val="it-IT"/>
        </w:rPr>
        <w:t>ter</w:t>
      </w:r>
      <w:r w:rsidRPr="00263869">
        <w:rPr>
          <w:rFonts w:ascii="Garamond" w:hAnsi="Garamond"/>
          <w:color w:val="3E3F3E"/>
          <w:sz w:val="33"/>
          <w:szCs w:val="33"/>
          <w:lang w:val="it-IT"/>
        </w:rPr>
        <w:t> c.p.p.), al quale il ministro della giustizia è tenuto a trasmettere gli atti ai sensi dell’art. 724, co. 2, c.p.p. Esigenze di coordinamento impongono, peraltro, la trasmissione di copia degli atti anche al procuratore nazionale antimafia qualora si proceda per taluno dei delitti di criminalità organizzata previsti dall’art. 51, co. 3-</w:t>
      </w:r>
      <w:r w:rsidRPr="00263869">
        <w:rPr>
          <w:rFonts w:ascii="Garamond" w:hAnsi="Garamond"/>
          <w:i/>
          <w:iCs/>
          <w:color w:val="3E3F3E"/>
          <w:sz w:val="33"/>
          <w:szCs w:val="33"/>
          <w:lang w:val="it-IT"/>
        </w:rPr>
        <w:t>bis</w:t>
      </w:r>
      <w:r w:rsidRPr="00263869">
        <w:rPr>
          <w:rFonts w:ascii="Garamond" w:hAnsi="Garamond"/>
          <w:color w:val="3E3F3E"/>
          <w:sz w:val="33"/>
          <w:szCs w:val="33"/>
          <w:lang w:val="it-IT"/>
        </w:rPr>
        <w:t>, c.p.p.</w:t>
      </w:r>
    </w:p>
    <w:p w14:paraId="31C5A09B" w14:textId="77777777" w:rsidR="00263869" w:rsidRPr="00263869" w:rsidRDefault="00263869" w:rsidP="00263869">
      <w:pPr>
        <w:pStyle w:val="NormaleWeb"/>
        <w:shd w:val="clear" w:color="auto" w:fill="FAF9F6"/>
        <w:spacing w:line="450" w:lineRule="atLeast"/>
        <w:jc w:val="both"/>
        <w:rPr>
          <w:rFonts w:ascii="Garamond" w:hAnsi="Garamond"/>
          <w:color w:val="3E3F3E"/>
          <w:sz w:val="33"/>
          <w:szCs w:val="33"/>
          <w:lang w:val="it-IT"/>
        </w:rPr>
      </w:pPr>
      <w:r w:rsidRPr="00263869">
        <w:rPr>
          <w:rFonts w:ascii="Garamond" w:hAnsi="Garamond"/>
          <w:color w:val="3E3F3E"/>
          <w:sz w:val="33"/>
          <w:szCs w:val="33"/>
          <w:lang w:val="it-IT"/>
        </w:rPr>
        <w:lastRenderedPageBreak/>
        <w:t>Ricevuti gli atti, il procuratore generale attiva la fase giurisdizionale con la presentazione della propria requisitoria alla corte di appello, che fissa la data dell’udienza, dandone comunicazione allo stesso procuratore generale. La mancata previsione della notifica alle altre parti interessate – vale a dire allo Stato richiedente e all’imputato – desta non poche perplessità in termini di violazione del contraddittorio (v., in dottrina, Daraio, G., </w:t>
      </w:r>
      <w:r w:rsidRPr="00263869">
        <w:rPr>
          <w:rFonts w:ascii="Garamond" w:hAnsi="Garamond"/>
          <w:i/>
          <w:iCs/>
          <w:color w:val="3E3F3E"/>
          <w:sz w:val="33"/>
          <w:szCs w:val="33"/>
          <w:lang w:val="it-IT"/>
        </w:rPr>
        <w:t>Le rogatorie internazionali</w:t>
      </w:r>
      <w:r w:rsidRPr="00263869">
        <w:rPr>
          <w:rFonts w:ascii="Garamond" w:hAnsi="Garamond"/>
          <w:color w:val="3E3F3E"/>
          <w:sz w:val="33"/>
          <w:szCs w:val="33"/>
          <w:lang w:val="it-IT"/>
        </w:rPr>
        <w:t>, in </w:t>
      </w:r>
      <w:r w:rsidRPr="00263869">
        <w:rPr>
          <w:rFonts w:ascii="Garamond" w:hAnsi="Garamond"/>
          <w:i/>
          <w:iCs/>
          <w:color w:val="3E3F3E"/>
          <w:sz w:val="33"/>
          <w:szCs w:val="33"/>
          <w:lang w:val="it-IT"/>
        </w:rPr>
        <w:t>Trattato di procedura penale</w:t>
      </w:r>
      <w:r w:rsidRPr="00263869">
        <w:rPr>
          <w:rFonts w:ascii="Garamond" w:hAnsi="Garamond"/>
          <w:color w:val="3E3F3E"/>
          <w:sz w:val="33"/>
          <w:szCs w:val="33"/>
          <w:lang w:val="it-IT"/>
        </w:rPr>
        <w:t>, a cura di G. Spangher, VI, </w:t>
      </w:r>
      <w:r w:rsidRPr="00263869">
        <w:rPr>
          <w:rFonts w:ascii="Garamond" w:hAnsi="Garamond"/>
          <w:i/>
          <w:iCs/>
          <w:color w:val="3E3F3E"/>
          <w:sz w:val="33"/>
          <w:szCs w:val="33"/>
          <w:lang w:val="it-IT"/>
        </w:rPr>
        <w:t>Esecuzione e rapporti con autorità giurisdizionali straniere</w:t>
      </w:r>
      <w:r w:rsidRPr="00263869">
        <w:rPr>
          <w:rFonts w:ascii="Garamond" w:hAnsi="Garamond"/>
          <w:color w:val="3E3F3E"/>
          <w:sz w:val="33"/>
          <w:szCs w:val="33"/>
          <w:lang w:val="it-IT"/>
        </w:rPr>
        <w:t>, a cura di L. Kalb, Torino, 2009, 658; Gaito, A., </w:t>
      </w:r>
      <w:r w:rsidRPr="00263869">
        <w:rPr>
          <w:rFonts w:ascii="Garamond" w:hAnsi="Garamond"/>
          <w:i/>
          <w:iCs/>
          <w:color w:val="3E3F3E"/>
          <w:sz w:val="33"/>
          <w:szCs w:val="33"/>
          <w:lang w:val="it-IT"/>
        </w:rPr>
        <w:t>Rapporti giurisdizionali con autorità straniere</w:t>
      </w:r>
      <w:r w:rsidRPr="00263869">
        <w:rPr>
          <w:rFonts w:ascii="Garamond" w:hAnsi="Garamond"/>
          <w:color w:val="3E3F3E"/>
          <w:sz w:val="33"/>
          <w:szCs w:val="33"/>
          <w:lang w:val="it-IT"/>
        </w:rPr>
        <w:t>, in </w:t>
      </w:r>
      <w:r w:rsidRPr="00263869">
        <w:rPr>
          <w:rFonts w:ascii="Garamond" w:hAnsi="Garamond"/>
          <w:i/>
          <w:iCs/>
          <w:color w:val="3E3F3E"/>
          <w:sz w:val="33"/>
          <w:szCs w:val="33"/>
          <w:lang w:val="it-IT"/>
        </w:rPr>
        <w:t>Compendio di procedura penale</w:t>
      </w:r>
      <w:r w:rsidRPr="00263869">
        <w:rPr>
          <w:rFonts w:ascii="Garamond" w:hAnsi="Garamond"/>
          <w:color w:val="3E3F3E"/>
          <w:sz w:val="33"/>
          <w:szCs w:val="33"/>
          <w:lang w:val="it-IT"/>
        </w:rPr>
        <w:t>, coordinato da G. Conso e V. Grevi, III ed., Padova, 2006, 1020; Valentini, C., </w:t>
      </w:r>
      <w:r w:rsidRPr="00263869">
        <w:rPr>
          <w:rFonts w:ascii="Garamond" w:hAnsi="Garamond"/>
          <w:i/>
          <w:iCs/>
          <w:color w:val="3E3F3E"/>
          <w:sz w:val="33"/>
          <w:szCs w:val="33"/>
          <w:lang w:val="it-IT"/>
        </w:rPr>
        <w:t>Il controllo dell’autorità giudiziaria italiana sugli atti istruttori effettuati in esecuzione di rogatorie internazionali: un’eterna attesa nel «deserto dei tartari»</w:t>
      </w:r>
      <w:r w:rsidRPr="00263869">
        <w:rPr>
          <w:rFonts w:ascii="Garamond" w:hAnsi="Garamond"/>
          <w:color w:val="3E3F3E"/>
          <w:sz w:val="33"/>
          <w:szCs w:val="33"/>
          <w:lang w:val="it-IT"/>
        </w:rPr>
        <w:t>, in </w:t>
      </w:r>
      <w:r w:rsidRPr="00263869">
        <w:rPr>
          <w:rFonts w:ascii="Garamond" w:hAnsi="Garamond"/>
          <w:i/>
          <w:iCs/>
          <w:color w:val="3E3F3E"/>
          <w:sz w:val="33"/>
          <w:szCs w:val="33"/>
          <w:lang w:val="it-IT"/>
        </w:rPr>
        <w:t>Giur. it.</w:t>
      </w:r>
      <w:r w:rsidRPr="00263869">
        <w:rPr>
          <w:rFonts w:ascii="Garamond" w:hAnsi="Garamond"/>
          <w:color w:val="3E3F3E"/>
          <w:sz w:val="33"/>
          <w:szCs w:val="33"/>
          <w:lang w:val="it-IT"/>
        </w:rPr>
        <w:t>, 1995, II, 147), ma la giurisprudenza prevalente sembra comunque orientata ad escludere una lesione del diritto di difesa (cfr. Cass. pen., sez. III, 25.2.2000, </w:t>
      </w:r>
      <w:r w:rsidRPr="00263869">
        <w:rPr>
          <w:rFonts w:ascii="Garamond" w:hAnsi="Garamond"/>
          <w:i/>
          <w:iCs/>
          <w:color w:val="3E3F3E"/>
          <w:sz w:val="33"/>
          <w:szCs w:val="33"/>
          <w:lang w:val="it-IT"/>
        </w:rPr>
        <w:t>Acampora</w:t>
      </w:r>
      <w:r w:rsidRPr="00263869">
        <w:rPr>
          <w:rFonts w:ascii="Garamond" w:hAnsi="Garamond"/>
          <w:color w:val="3E3F3E"/>
          <w:sz w:val="33"/>
          <w:szCs w:val="33"/>
          <w:lang w:val="it-IT"/>
        </w:rPr>
        <w:t>, in </w:t>
      </w:r>
      <w:r w:rsidRPr="00263869">
        <w:rPr>
          <w:rFonts w:ascii="Garamond" w:hAnsi="Garamond"/>
          <w:i/>
          <w:iCs/>
          <w:color w:val="3E3F3E"/>
          <w:sz w:val="33"/>
          <w:szCs w:val="33"/>
          <w:lang w:val="it-IT"/>
        </w:rPr>
        <w:t>Foro amb</w:t>
      </w:r>
      <w:r w:rsidRPr="00263869">
        <w:rPr>
          <w:rFonts w:ascii="Garamond" w:hAnsi="Garamond"/>
          <w:color w:val="3E3F3E"/>
          <w:sz w:val="33"/>
          <w:szCs w:val="33"/>
          <w:lang w:val="it-IT"/>
        </w:rPr>
        <w:t>., 2001, 88). Andrebbe verificata, peraltro, sul piano interpretativo, la possibilità di ritenere applicabili le forme di cui all’art. 127 c.p.p., con la conseguente notifica dell’avviso di udienza «alle parti, alle altre persone interessate e ai difensori» (sulla portata generale ed estensiva del procedimento camerale, v. Di Chiara, G., </w:t>
      </w:r>
      <w:r w:rsidRPr="00263869">
        <w:rPr>
          <w:rFonts w:ascii="Garamond" w:hAnsi="Garamond"/>
          <w:i/>
          <w:iCs/>
          <w:color w:val="3E3F3E"/>
          <w:sz w:val="33"/>
          <w:szCs w:val="33"/>
          <w:lang w:val="it-IT"/>
        </w:rPr>
        <w:t>Il contraddittorio nei riti camerali</w:t>
      </w:r>
      <w:r w:rsidRPr="00263869">
        <w:rPr>
          <w:rFonts w:ascii="Garamond" w:hAnsi="Garamond"/>
          <w:color w:val="3E3F3E"/>
          <w:sz w:val="33"/>
          <w:szCs w:val="33"/>
          <w:lang w:val="it-IT"/>
        </w:rPr>
        <w:t>, Milano, 1994). In ogni caso, la soluzione adottata dalla giurisprudenza prevalente non sembra determinare pregiudizi intollerabili, poiché l’udienza camerale, in questa fase, è semplicemente lo strumento per verificare se la rogatoria non sia vietata dalla legge italiana, se gli atti da compiere attengano all’accertamento di fatti previsti come reato anche in Italia e se non vi siano ragioni di discriminazione contro l’imputato, mentre la tutela giurisdizionale piena dell’interessato è assicurata nella successiva, eventuale fase esecutiva (Cass. pen., sez. I, 29.11.2006, n. 40415, in </w:t>
      </w:r>
      <w:r w:rsidRPr="00263869">
        <w:rPr>
          <w:rFonts w:ascii="Garamond" w:hAnsi="Garamond"/>
          <w:i/>
          <w:iCs/>
          <w:color w:val="3E3F3E"/>
          <w:sz w:val="33"/>
          <w:szCs w:val="33"/>
          <w:lang w:val="it-IT"/>
        </w:rPr>
        <w:t>Giur. it</w:t>
      </w:r>
      <w:r w:rsidRPr="00263869">
        <w:rPr>
          <w:rFonts w:ascii="Garamond" w:hAnsi="Garamond"/>
          <w:color w:val="3E3F3E"/>
          <w:sz w:val="33"/>
          <w:szCs w:val="33"/>
          <w:lang w:val="it-IT"/>
        </w:rPr>
        <w:t>., 2007, 2554).</w:t>
      </w:r>
    </w:p>
    <w:p w14:paraId="05AF2EE8" w14:textId="77777777" w:rsidR="00263869" w:rsidRPr="00263869" w:rsidRDefault="00263869" w:rsidP="00263869">
      <w:pPr>
        <w:pStyle w:val="NormaleWeb"/>
        <w:shd w:val="clear" w:color="auto" w:fill="FAF9F6"/>
        <w:spacing w:line="450" w:lineRule="atLeast"/>
        <w:jc w:val="both"/>
        <w:rPr>
          <w:rFonts w:ascii="Garamond" w:hAnsi="Garamond"/>
          <w:color w:val="3E3F3E"/>
          <w:sz w:val="33"/>
          <w:szCs w:val="33"/>
          <w:lang w:val="it-IT"/>
        </w:rPr>
      </w:pPr>
      <w:r w:rsidRPr="00263869">
        <w:rPr>
          <w:rFonts w:ascii="Garamond" w:hAnsi="Garamond"/>
          <w:color w:val="3E3F3E"/>
          <w:sz w:val="33"/>
          <w:szCs w:val="33"/>
          <w:lang w:val="it-IT"/>
        </w:rPr>
        <w:t>La corte di appello, all’esito di questo primo segmento giurisdizionale (definito da autorevole dottrina come fase di cognizione: Tonini, P., </w:t>
      </w:r>
      <w:r w:rsidRPr="00263869">
        <w:rPr>
          <w:rFonts w:ascii="Garamond" w:hAnsi="Garamond"/>
          <w:i/>
          <w:iCs/>
          <w:color w:val="3E3F3E"/>
          <w:sz w:val="33"/>
          <w:szCs w:val="33"/>
          <w:lang w:val="it-IT"/>
        </w:rPr>
        <w:t>Manuale di procedura penale</w:t>
      </w:r>
      <w:r w:rsidRPr="00263869">
        <w:rPr>
          <w:rFonts w:ascii="Garamond" w:hAnsi="Garamond"/>
          <w:color w:val="3E3F3E"/>
          <w:sz w:val="33"/>
          <w:szCs w:val="33"/>
          <w:lang w:val="it-IT"/>
        </w:rPr>
        <w:t xml:space="preserve">, Milano, 2008, 872 s.), si limita ad esprimere </w:t>
      </w:r>
      <w:r w:rsidRPr="00263869">
        <w:rPr>
          <w:rFonts w:ascii="Garamond" w:hAnsi="Garamond"/>
          <w:color w:val="3E3F3E"/>
          <w:sz w:val="33"/>
          <w:szCs w:val="33"/>
          <w:lang w:val="it-IT"/>
        </w:rPr>
        <w:lastRenderedPageBreak/>
        <w:t>un giudizio di ammissibilità sulla richiesta di assistenza giudiziaria, verificando la sussistenza delle condizioni stabilite dall’ordinamento per l’esecuzione dell’atto probatorio richiesto.</w:t>
      </w:r>
    </w:p>
    <w:p w14:paraId="2CA73088" w14:textId="77777777" w:rsidR="00263869" w:rsidRPr="00263869" w:rsidRDefault="00263869" w:rsidP="00263869">
      <w:pPr>
        <w:pStyle w:val="NormaleWeb"/>
        <w:shd w:val="clear" w:color="auto" w:fill="FAF9F6"/>
        <w:spacing w:line="450" w:lineRule="atLeast"/>
        <w:jc w:val="both"/>
        <w:rPr>
          <w:rFonts w:ascii="Garamond" w:hAnsi="Garamond"/>
          <w:color w:val="3E3F3E"/>
          <w:sz w:val="33"/>
          <w:szCs w:val="33"/>
          <w:lang w:val="it-IT"/>
        </w:rPr>
      </w:pPr>
      <w:r w:rsidRPr="00263869">
        <w:rPr>
          <w:rFonts w:ascii="Garamond" w:hAnsi="Garamond"/>
          <w:color w:val="3E3F3E"/>
          <w:sz w:val="33"/>
          <w:szCs w:val="33"/>
          <w:lang w:val="it-IT"/>
        </w:rPr>
        <w:t>Più precisamente, la corte verifica, </w:t>
      </w:r>
      <w:r w:rsidRPr="00263869">
        <w:rPr>
          <w:rFonts w:ascii="Garamond" w:hAnsi="Garamond"/>
          <w:i/>
          <w:iCs/>
          <w:color w:val="3E3F3E"/>
          <w:sz w:val="33"/>
          <w:szCs w:val="33"/>
          <w:lang w:val="it-IT"/>
        </w:rPr>
        <w:t>ex ante</w:t>
      </w:r>
      <w:r w:rsidRPr="00263869">
        <w:rPr>
          <w:rFonts w:ascii="Garamond" w:hAnsi="Garamond"/>
          <w:color w:val="3E3F3E"/>
          <w:sz w:val="33"/>
          <w:szCs w:val="33"/>
          <w:lang w:val="it-IT"/>
        </w:rPr>
        <w:t>, se l’atto da compiere si ponga in contrasto con un espresso divieto normativo o con i principi dell’ordinamento giuridico dello Stato, nonché se sussistano fondate ragioni per ritenere che considerazioni discriminatorie relative a razza, religione, sesso, nazionalità, lingua, opinioni politiche, condizioni personali o sociali possano influire sullo svolgimento o sull’esito del procedimento.</w:t>
      </w:r>
    </w:p>
    <w:p w14:paraId="24FD985E" w14:textId="77777777" w:rsidR="00263869" w:rsidRPr="00263869" w:rsidRDefault="00263869" w:rsidP="00263869">
      <w:pPr>
        <w:pStyle w:val="NormaleWeb"/>
        <w:shd w:val="clear" w:color="auto" w:fill="FAF9F6"/>
        <w:spacing w:line="450" w:lineRule="atLeast"/>
        <w:jc w:val="both"/>
        <w:rPr>
          <w:rFonts w:ascii="Garamond" w:hAnsi="Garamond"/>
          <w:color w:val="3E3F3E"/>
          <w:sz w:val="33"/>
          <w:szCs w:val="33"/>
          <w:lang w:val="it-IT"/>
        </w:rPr>
      </w:pPr>
      <w:r w:rsidRPr="00263869">
        <w:rPr>
          <w:rFonts w:ascii="Garamond" w:hAnsi="Garamond"/>
          <w:color w:val="3E3F3E"/>
          <w:sz w:val="33"/>
          <w:szCs w:val="33"/>
          <w:lang w:val="it-IT"/>
        </w:rPr>
        <w:t>In definitiva, l’organo giurisdizionale riformula la valutazione preliminare effettuata in sede amministrativa, ai sensi dell’art. 723, co. 2, c.p.p.</w:t>
      </w:r>
    </w:p>
    <w:p w14:paraId="2FCB0226" w14:textId="77777777" w:rsidR="00263869" w:rsidRPr="00263869" w:rsidRDefault="00263869" w:rsidP="00263869">
      <w:pPr>
        <w:pStyle w:val="NormaleWeb"/>
        <w:shd w:val="clear" w:color="auto" w:fill="FAF9F6"/>
        <w:spacing w:line="450" w:lineRule="atLeast"/>
        <w:jc w:val="both"/>
        <w:rPr>
          <w:rFonts w:ascii="Garamond" w:hAnsi="Garamond"/>
          <w:color w:val="3E3F3E"/>
          <w:sz w:val="33"/>
          <w:szCs w:val="33"/>
          <w:lang w:val="it-IT"/>
        </w:rPr>
      </w:pPr>
      <w:r w:rsidRPr="00263869">
        <w:rPr>
          <w:rFonts w:ascii="Garamond" w:hAnsi="Garamond"/>
          <w:color w:val="3E3F3E"/>
          <w:sz w:val="33"/>
          <w:szCs w:val="33"/>
          <w:lang w:val="it-IT"/>
        </w:rPr>
        <w:t>Del tutto sommario è anche l’accertamento volto a verificare il requisito della cd. doppia incriminazione, che deve ritenersi sussistente se il fatto per cui procede l’autorità straniera sia previsto come reato anche dalla legge italiana.</w:t>
      </w:r>
    </w:p>
    <w:p w14:paraId="1A1E47E5" w14:textId="77777777" w:rsidR="00263869" w:rsidRPr="00263869" w:rsidRDefault="00263869" w:rsidP="00263869">
      <w:pPr>
        <w:pStyle w:val="NormaleWeb"/>
        <w:shd w:val="clear" w:color="auto" w:fill="FAF9F6"/>
        <w:spacing w:line="450" w:lineRule="atLeast"/>
        <w:jc w:val="both"/>
        <w:rPr>
          <w:rFonts w:ascii="Garamond" w:hAnsi="Garamond"/>
          <w:color w:val="3E3F3E"/>
          <w:sz w:val="33"/>
          <w:szCs w:val="33"/>
          <w:lang w:val="it-IT"/>
        </w:rPr>
      </w:pPr>
      <w:r w:rsidRPr="00263869">
        <w:rPr>
          <w:rFonts w:ascii="Garamond" w:hAnsi="Garamond"/>
          <w:color w:val="3E3F3E"/>
          <w:sz w:val="33"/>
          <w:szCs w:val="33"/>
          <w:lang w:val="it-IT"/>
        </w:rPr>
        <w:t>Se non registra alcuna delle condizioni ostative elencate nell’art. 724, co. 5, c.p.p., la corte pronuncia ordinanza con la quale dispone l’esecuzione della rogatoria. Assume la stessa forma anche l’eventuale rigetto della richiesta di assistenza.</w:t>
      </w:r>
    </w:p>
    <w:p w14:paraId="16B8D8BC" w14:textId="77777777" w:rsidR="00263869" w:rsidRPr="00263869" w:rsidRDefault="00263869" w:rsidP="00263869">
      <w:pPr>
        <w:pStyle w:val="NormaleWeb"/>
        <w:shd w:val="clear" w:color="auto" w:fill="FAF9F6"/>
        <w:spacing w:line="450" w:lineRule="atLeast"/>
        <w:jc w:val="both"/>
        <w:rPr>
          <w:rFonts w:ascii="Garamond" w:hAnsi="Garamond"/>
          <w:color w:val="3E3F3E"/>
          <w:sz w:val="33"/>
          <w:szCs w:val="33"/>
          <w:lang w:val="it-IT"/>
        </w:rPr>
      </w:pPr>
      <w:r w:rsidRPr="00263869">
        <w:rPr>
          <w:rFonts w:ascii="Garamond" w:hAnsi="Garamond"/>
          <w:color w:val="3E3F3E"/>
          <w:sz w:val="33"/>
          <w:szCs w:val="33"/>
          <w:lang w:val="it-IT"/>
        </w:rPr>
        <w:t>L’ordinanza resa dalla corte di appello non è impugnabile, stante il principio di tassatività vigente in materia (Cass. pen., sez. IV, 31.1.2008, n. 9496, in </w:t>
      </w:r>
      <w:r w:rsidRPr="00263869">
        <w:rPr>
          <w:rFonts w:ascii="Garamond" w:hAnsi="Garamond"/>
          <w:i/>
          <w:iCs/>
          <w:color w:val="3E3F3E"/>
          <w:sz w:val="33"/>
          <w:szCs w:val="33"/>
          <w:lang w:val="it-IT"/>
        </w:rPr>
        <w:t>Foro it</w:t>
      </w:r>
      <w:r w:rsidRPr="00263869">
        <w:rPr>
          <w:rFonts w:ascii="Garamond" w:hAnsi="Garamond"/>
          <w:color w:val="3E3F3E"/>
          <w:sz w:val="33"/>
          <w:szCs w:val="33"/>
          <w:lang w:val="it-IT"/>
        </w:rPr>
        <w:t>., 2008, II, 267; Cass. pen., sez. III, 25.2.2000, cit.; Cass. pen., sez. IV, 27.11.1992, in </w:t>
      </w:r>
      <w:r w:rsidRPr="00263869">
        <w:rPr>
          <w:rFonts w:ascii="Garamond" w:hAnsi="Garamond"/>
          <w:i/>
          <w:iCs/>
          <w:color w:val="3E3F3E"/>
          <w:sz w:val="33"/>
          <w:szCs w:val="33"/>
          <w:lang w:val="it-IT"/>
        </w:rPr>
        <w:t>Cass. pen. Mass</w:t>
      </w:r>
      <w:r w:rsidRPr="00263869">
        <w:rPr>
          <w:rFonts w:ascii="Garamond" w:hAnsi="Garamond"/>
          <w:color w:val="3E3F3E"/>
          <w:sz w:val="33"/>
          <w:szCs w:val="33"/>
          <w:lang w:val="it-IT"/>
        </w:rPr>
        <w:t>., 1993, fasc. 8, 61). Analogamente, non è soggetta a ricorso per cassazione l’ordinanza emessa in corso di esecuzione, con la quale, in riforma della precedente pronuncia, la corte di appello dispone la sospensione, anche parziale, del compimento degli atti richiesti (Cass. pen., sez. II, 7.11.2001, n. 43427, in </w:t>
      </w:r>
      <w:r w:rsidRPr="00263869">
        <w:rPr>
          <w:rFonts w:ascii="Garamond" w:hAnsi="Garamond"/>
          <w:i/>
          <w:iCs/>
          <w:color w:val="3E3F3E"/>
          <w:sz w:val="33"/>
          <w:szCs w:val="33"/>
          <w:lang w:val="it-IT"/>
        </w:rPr>
        <w:t>Cass. pen</w:t>
      </w:r>
      <w:r w:rsidRPr="00263869">
        <w:rPr>
          <w:rFonts w:ascii="Garamond" w:hAnsi="Garamond"/>
          <w:color w:val="3E3F3E"/>
          <w:sz w:val="33"/>
          <w:szCs w:val="33"/>
          <w:lang w:val="it-IT"/>
        </w:rPr>
        <w:t>., 2002, 3192).</w:t>
      </w:r>
    </w:p>
    <w:p w14:paraId="4C5F7525" w14:textId="77777777" w:rsidR="00263869" w:rsidRPr="00263869" w:rsidRDefault="00263869" w:rsidP="00263869">
      <w:pPr>
        <w:pStyle w:val="NormaleWeb"/>
        <w:shd w:val="clear" w:color="auto" w:fill="FAF9F6"/>
        <w:spacing w:line="450" w:lineRule="atLeast"/>
        <w:jc w:val="both"/>
        <w:rPr>
          <w:rFonts w:ascii="Garamond" w:hAnsi="Garamond"/>
          <w:color w:val="3E3F3E"/>
          <w:sz w:val="33"/>
          <w:szCs w:val="33"/>
          <w:lang w:val="it-IT"/>
        </w:rPr>
      </w:pPr>
      <w:r w:rsidRPr="00263869">
        <w:rPr>
          <w:rFonts w:ascii="Garamond" w:hAnsi="Garamond"/>
          <w:color w:val="3E3F3E"/>
          <w:sz w:val="33"/>
          <w:szCs w:val="33"/>
          <w:lang w:val="it-IT"/>
        </w:rPr>
        <w:lastRenderedPageBreak/>
        <w:t>Emessa l’ordinanza, l’unico rimedio esperibile avverso gli atti compiuti in esecuzione della stessa è, dunque, l’incidente di esecuzione (v. </w:t>
      </w:r>
      <w:r w:rsidRPr="00263869">
        <w:rPr>
          <w:rFonts w:ascii="Garamond" w:hAnsi="Garamond"/>
          <w:i/>
          <w:iCs/>
          <w:color w:val="3E3F3E"/>
          <w:sz w:val="33"/>
          <w:szCs w:val="33"/>
          <w:lang w:val="it-IT"/>
        </w:rPr>
        <w:t>infra</w:t>
      </w:r>
      <w:r w:rsidRPr="00263869">
        <w:rPr>
          <w:rFonts w:ascii="Garamond" w:hAnsi="Garamond"/>
          <w:color w:val="3E3F3E"/>
          <w:sz w:val="33"/>
          <w:szCs w:val="33"/>
          <w:lang w:val="it-IT"/>
        </w:rPr>
        <w:t>, § 3.3).</w:t>
      </w:r>
    </w:p>
    <w:p w14:paraId="051DE5E9" w14:textId="77777777" w:rsidR="00263869" w:rsidRPr="00263869" w:rsidRDefault="00263869" w:rsidP="00263869">
      <w:pPr>
        <w:pStyle w:val="Titolo3"/>
        <w:shd w:val="clear" w:color="auto" w:fill="FAF9F6"/>
        <w:spacing w:before="450" w:after="450" w:line="390" w:lineRule="atLeast"/>
        <w:jc w:val="both"/>
        <w:rPr>
          <w:rFonts w:ascii="Montserrat" w:hAnsi="Montserrat"/>
          <w:color w:val="3E3F3E"/>
          <w:sz w:val="27"/>
          <w:szCs w:val="27"/>
          <w:lang w:val="it-IT"/>
        </w:rPr>
      </w:pPr>
      <w:r w:rsidRPr="00263869">
        <w:rPr>
          <w:rStyle w:val="mw-headline"/>
          <w:rFonts w:ascii="Montserrat" w:hAnsi="Montserrat"/>
          <w:color w:val="3E3F3E"/>
          <w:lang w:val="it-IT"/>
        </w:rPr>
        <w:t>La fase esecutiva</w:t>
      </w:r>
    </w:p>
    <w:p w14:paraId="6709CA79" w14:textId="77777777" w:rsidR="00263869" w:rsidRPr="00263869" w:rsidRDefault="00263869" w:rsidP="00263869">
      <w:pPr>
        <w:pStyle w:val="NormaleWeb"/>
        <w:shd w:val="clear" w:color="auto" w:fill="FAF9F6"/>
        <w:spacing w:line="450" w:lineRule="atLeast"/>
        <w:jc w:val="both"/>
        <w:rPr>
          <w:rFonts w:ascii="Garamond" w:hAnsi="Garamond"/>
          <w:color w:val="3E3F3E"/>
          <w:sz w:val="33"/>
          <w:szCs w:val="33"/>
          <w:lang w:val="it-IT"/>
        </w:rPr>
      </w:pPr>
      <w:r w:rsidRPr="00263869">
        <w:rPr>
          <w:rFonts w:ascii="Garamond" w:hAnsi="Garamond"/>
          <w:color w:val="3E3F3E"/>
          <w:sz w:val="33"/>
          <w:szCs w:val="33"/>
          <w:lang w:val="it-IT"/>
        </w:rPr>
        <w:t>Ottenuto l’exequatur della corte di appello, si dà corso all’esecuzione della rogatoria con il compimento dell’atto richiesto dall’autorità straniera.</w:t>
      </w:r>
    </w:p>
    <w:p w14:paraId="7DA971F3" w14:textId="77777777" w:rsidR="00263869" w:rsidRPr="00263869" w:rsidRDefault="00263869" w:rsidP="00263869">
      <w:pPr>
        <w:pStyle w:val="NormaleWeb"/>
        <w:shd w:val="clear" w:color="auto" w:fill="FAF9F6"/>
        <w:spacing w:line="450" w:lineRule="atLeast"/>
        <w:jc w:val="both"/>
        <w:rPr>
          <w:rFonts w:ascii="Garamond" w:hAnsi="Garamond"/>
          <w:color w:val="3E3F3E"/>
          <w:sz w:val="33"/>
          <w:szCs w:val="33"/>
          <w:lang w:val="it-IT"/>
        </w:rPr>
      </w:pPr>
      <w:r w:rsidRPr="00263869">
        <w:rPr>
          <w:rFonts w:ascii="Garamond" w:hAnsi="Garamond"/>
          <w:color w:val="3E3F3E"/>
          <w:sz w:val="33"/>
          <w:szCs w:val="33"/>
          <w:lang w:val="it-IT"/>
        </w:rPr>
        <w:t>In realtà, si può parlare di fase esecutiva nelle sole ipotesi di prova costituenda – per la quale è necessaria l’attività di assunzione – poiché l’acquisizione della prova precostituita non richiede altro che una mera trasmissione di atti (cfr. Cass. pen., sez. III, 14.4.1999, </w:t>
      </w:r>
      <w:r w:rsidRPr="00263869">
        <w:rPr>
          <w:rFonts w:ascii="Garamond" w:hAnsi="Garamond"/>
          <w:i/>
          <w:iCs/>
          <w:color w:val="3E3F3E"/>
          <w:sz w:val="33"/>
          <w:szCs w:val="33"/>
          <w:lang w:val="it-IT"/>
        </w:rPr>
        <w:t>Acampora</w:t>
      </w:r>
      <w:r w:rsidRPr="00263869">
        <w:rPr>
          <w:rFonts w:ascii="Garamond" w:hAnsi="Garamond"/>
          <w:color w:val="3E3F3E"/>
          <w:sz w:val="33"/>
          <w:szCs w:val="33"/>
          <w:lang w:val="it-IT"/>
        </w:rPr>
        <w:t>, in </w:t>
      </w:r>
      <w:r w:rsidRPr="00263869">
        <w:rPr>
          <w:rFonts w:ascii="Garamond" w:hAnsi="Garamond"/>
          <w:i/>
          <w:iCs/>
          <w:color w:val="3E3F3E"/>
          <w:sz w:val="33"/>
          <w:szCs w:val="33"/>
          <w:lang w:val="it-IT"/>
        </w:rPr>
        <w:t>Foro amb</w:t>
      </w:r>
      <w:r w:rsidRPr="00263869">
        <w:rPr>
          <w:rFonts w:ascii="Garamond" w:hAnsi="Garamond"/>
          <w:color w:val="3E3F3E"/>
          <w:sz w:val="33"/>
          <w:szCs w:val="33"/>
          <w:lang w:val="it-IT"/>
        </w:rPr>
        <w:t>., 2000, 224).</w:t>
      </w:r>
    </w:p>
    <w:p w14:paraId="688569FE" w14:textId="77777777" w:rsidR="00263869" w:rsidRPr="00263869" w:rsidRDefault="00263869" w:rsidP="00263869">
      <w:pPr>
        <w:pStyle w:val="NormaleWeb"/>
        <w:shd w:val="clear" w:color="auto" w:fill="FAF9F6"/>
        <w:spacing w:line="450" w:lineRule="atLeast"/>
        <w:jc w:val="both"/>
        <w:rPr>
          <w:rFonts w:ascii="Garamond" w:hAnsi="Garamond"/>
          <w:color w:val="3E3F3E"/>
          <w:sz w:val="33"/>
          <w:szCs w:val="33"/>
          <w:lang w:val="it-IT"/>
        </w:rPr>
      </w:pPr>
      <w:r w:rsidRPr="00263869">
        <w:rPr>
          <w:rFonts w:ascii="Garamond" w:hAnsi="Garamond"/>
          <w:color w:val="3E3F3E"/>
          <w:sz w:val="33"/>
          <w:szCs w:val="33"/>
          <w:lang w:val="it-IT"/>
        </w:rPr>
        <w:t>L’inizio della fase esecutiva può essere procrastinato da un provvedimento di sospensione adottato, a norma dell’art. 724, co. 5-</w:t>
      </w:r>
      <w:r w:rsidRPr="00263869">
        <w:rPr>
          <w:rFonts w:ascii="Garamond" w:hAnsi="Garamond"/>
          <w:i/>
          <w:iCs/>
          <w:color w:val="3E3F3E"/>
          <w:sz w:val="33"/>
          <w:szCs w:val="33"/>
          <w:lang w:val="it-IT"/>
        </w:rPr>
        <w:t>bis</w:t>
      </w:r>
      <w:r w:rsidRPr="00263869">
        <w:rPr>
          <w:rFonts w:ascii="Garamond" w:hAnsi="Garamond"/>
          <w:color w:val="3E3F3E"/>
          <w:sz w:val="33"/>
          <w:szCs w:val="33"/>
          <w:lang w:val="it-IT"/>
        </w:rPr>
        <w:t>, c.p.p., dalla corte di appello, laddove ritenga che il compimento dell’attività istruttoria richiesta possa recare pregiudizio ad altro procedimento penale pendente nello Stato italiano, sia esso nella fase delle indagini preliminari o in uno stadio successivo.</w:t>
      </w:r>
    </w:p>
    <w:p w14:paraId="614012B5" w14:textId="77777777" w:rsidR="00263869" w:rsidRPr="00263869" w:rsidRDefault="00263869" w:rsidP="00263869">
      <w:pPr>
        <w:pStyle w:val="NormaleWeb"/>
        <w:shd w:val="clear" w:color="auto" w:fill="FAF9F6"/>
        <w:spacing w:line="450" w:lineRule="atLeast"/>
        <w:jc w:val="both"/>
        <w:rPr>
          <w:rFonts w:ascii="Garamond" w:hAnsi="Garamond"/>
          <w:color w:val="3E3F3E"/>
          <w:sz w:val="33"/>
          <w:szCs w:val="33"/>
          <w:lang w:val="it-IT"/>
        </w:rPr>
      </w:pPr>
      <w:r w:rsidRPr="00263869">
        <w:rPr>
          <w:rFonts w:ascii="Garamond" w:hAnsi="Garamond"/>
          <w:color w:val="3E3F3E"/>
          <w:sz w:val="33"/>
          <w:szCs w:val="33"/>
          <w:lang w:val="it-IT"/>
        </w:rPr>
        <w:t>Il compimento dell’atto è demandato ad uno dei componenti della corte di appello o al giudice per le indagini preliminari del luogo in cui occorre procedere all’esecuzione.</w:t>
      </w:r>
    </w:p>
    <w:p w14:paraId="721A96FF" w14:textId="77777777" w:rsidR="00263869" w:rsidRPr="00263869" w:rsidRDefault="00263869" w:rsidP="00263869">
      <w:pPr>
        <w:pStyle w:val="NormaleWeb"/>
        <w:shd w:val="clear" w:color="auto" w:fill="FAF9F6"/>
        <w:spacing w:line="450" w:lineRule="atLeast"/>
        <w:jc w:val="both"/>
        <w:rPr>
          <w:rFonts w:ascii="Garamond" w:hAnsi="Garamond"/>
          <w:color w:val="3E3F3E"/>
          <w:sz w:val="33"/>
          <w:szCs w:val="33"/>
          <w:lang w:val="it-IT"/>
        </w:rPr>
      </w:pPr>
      <w:r w:rsidRPr="00263869">
        <w:rPr>
          <w:rFonts w:ascii="Garamond" w:hAnsi="Garamond"/>
          <w:color w:val="3E3F3E"/>
          <w:sz w:val="33"/>
          <w:szCs w:val="33"/>
          <w:lang w:val="it-IT"/>
        </w:rPr>
        <w:t>Per l’assunzione della prova rogata, la </w:t>
      </w:r>
      <w:r w:rsidRPr="00263869">
        <w:rPr>
          <w:rFonts w:ascii="Garamond" w:hAnsi="Garamond"/>
          <w:i/>
          <w:iCs/>
          <w:color w:val="3E3F3E"/>
          <w:sz w:val="33"/>
          <w:szCs w:val="33"/>
          <w:lang w:val="it-IT"/>
        </w:rPr>
        <w:t>lex loci</w:t>
      </w:r>
      <w:r w:rsidRPr="00263869">
        <w:rPr>
          <w:rFonts w:ascii="Garamond" w:hAnsi="Garamond"/>
          <w:color w:val="3E3F3E"/>
          <w:sz w:val="33"/>
          <w:szCs w:val="33"/>
          <w:lang w:val="it-IT"/>
        </w:rPr>
        <w:t> impone l’applicazione delle norme del codice di procedura penale italiano, anche se l’autorità giudiziaria richiedente potrebbe esigere l’osservanza di forme particolari, che il giudice è tenuto ad osservare, salvo si pongano in contrasto con i principi fondamentali dell’ordinamento giuridico italiano.</w:t>
      </w:r>
    </w:p>
    <w:p w14:paraId="011FAE66" w14:textId="77777777" w:rsidR="00263869" w:rsidRPr="00263869" w:rsidRDefault="00263869" w:rsidP="00263869">
      <w:pPr>
        <w:pStyle w:val="NormaleWeb"/>
        <w:shd w:val="clear" w:color="auto" w:fill="FAF9F6"/>
        <w:spacing w:line="450" w:lineRule="atLeast"/>
        <w:jc w:val="both"/>
        <w:rPr>
          <w:rFonts w:ascii="Garamond" w:hAnsi="Garamond"/>
          <w:color w:val="3E3F3E"/>
          <w:sz w:val="33"/>
          <w:szCs w:val="33"/>
          <w:lang w:val="it-IT"/>
        </w:rPr>
      </w:pPr>
      <w:r w:rsidRPr="00263869">
        <w:rPr>
          <w:rFonts w:ascii="Garamond" w:hAnsi="Garamond"/>
          <w:color w:val="3E3F3E"/>
          <w:sz w:val="33"/>
          <w:szCs w:val="33"/>
          <w:lang w:val="it-IT"/>
        </w:rPr>
        <w:t xml:space="preserve">Come già anticipato, l’unico rimedio esperibile avverso gli atti compiuti in attuazione dell’ordinanza resa dalla corte di appello è l’incidente di </w:t>
      </w:r>
      <w:r w:rsidRPr="00263869">
        <w:rPr>
          <w:rFonts w:ascii="Garamond" w:hAnsi="Garamond"/>
          <w:color w:val="3E3F3E"/>
          <w:sz w:val="33"/>
          <w:szCs w:val="33"/>
          <w:lang w:val="it-IT"/>
        </w:rPr>
        <w:lastRenderedPageBreak/>
        <w:t>esecuzione, con il quale si possono sollevare questioni attinenti all’esistenza del titolo esecutivo o alle condizioni costitutive, modificative o estintive della validità e dell’efficacia del titolo stesso. Per propria intrinseca natura, l’incidente di esecuzione non può mai avere ad oggetto – a pena di inammissibilità – questioni già risolte nel processo di formazione del titolo esecutivo (App. Milano, 9.4.2003, in </w:t>
      </w:r>
      <w:r w:rsidRPr="00263869">
        <w:rPr>
          <w:rFonts w:ascii="Garamond" w:hAnsi="Garamond"/>
          <w:i/>
          <w:iCs/>
          <w:color w:val="3E3F3E"/>
          <w:sz w:val="33"/>
          <w:szCs w:val="33"/>
          <w:lang w:val="it-IT"/>
        </w:rPr>
        <w:t>Foro amb</w:t>
      </w:r>
      <w:r w:rsidRPr="00263869">
        <w:rPr>
          <w:rFonts w:ascii="Garamond" w:hAnsi="Garamond"/>
          <w:color w:val="3E3F3E"/>
          <w:sz w:val="33"/>
          <w:szCs w:val="33"/>
          <w:lang w:val="it-IT"/>
        </w:rPr>
        <w:t>., 2003, 376), né questioni che vanno risolte nel procedimento penale incardinato presso l’autorità straniera (Cass. pen., sez. III, 14.4.1999, cit.).</w:t>
      </w:r>
    </w:p>
    <w:p w14:paraId="377238FA" w14:textId="77777777" w:rsidR="00263869" w:rsidRPr="00263869" w:rsidRDefault="00263869" w:rsidP="00263869">
      <w:pPr>
        <w:pStyle w:val="Titolo3"/>
        <w:shd w:val="clear" w:color="auto" w:fill="FAF9F6"/>
        <w:spacing w:before="450" w:after="450" w:line="390" w:lineRule="atLeast"/>
        <w:jc w:val="both"/>
        <w:rPr>
          <w:rFonts w:ascii="Montserrat" w:hAnsi="Montserrat"/>
          <w:color w:val="3E3F3E"/>
          <w:sz w:val="27"/>
          <w:szCs w:val="27"/>
          <w:lang w:val="it-IT"/>
        </w:rPr>
      </w:pPr>
      <w:r w:rsidRPr="00263869">
        <w:rPr>
          <w:rStyle w:val="mw-headline"/>
          <w:rFonts w:ascii="Montserrat" w:hAnsi="Montserrat"/>
          <w:color w:val="3E3F3E"/>
          <w:lang w:val="it-IT"/>
        </w:rPr>
        <w:t>Gli adempimenti amministrativi: citazione dei testimoni e notifiche</w:t>
      </w:r>
    </w:p>
    <w:p w14:paraId="340091F5" w14:textId="77777777" w:rsidR="00263869" w:rsidRPr="00263869" w:rsidRDefault="00263869" w:rsidP="00263869">
      <w:pPr>
        <w:pStyle w:val="NormaleWeb"/>
        <w:shd w:val="clear" w:color="auto" w:fill="FAF9F6"/>
        <w:spacing w:line="450" w:lineRule="atLeast"/>
        <w:jc w:val="both"/>
        <w:rPr>
          <w:rFonts w:ascii="Garamond" w:hAnsi="Garamond"/>
          <w:color w:val="3E3F3E"/>
          <w:sz w:val="33"/>
          <w:szCs w:val="33"/>
          <w:lang w:val="it-IT"/>
        </w:rPr>
      </w:pPr>
      <w:r w:rsidRPr="00263869">
        <w:rPr>
          <w:rFonts w:ascii="Garamond" w:hAnsi="Garamond"/>
          <w:color w:val="3E3F3E"/>
          <w:sz w:val="33"/>
          <w:szCs w:val="33"/>
          <w:lang w:val="it-IT"/>
        </w:rPr>
        <w:t>Esulano dal rispetto delle forme previste per la rogatoria le richieste di assistenza di tipo certificativo-amministrativo, quali la citazione di testimoni o la notifica su istanza di un’autorità estera.</w:t>
      </w:r>
    </w:p>
    <w:p w14:paraId="14EC3FB8" w14:textId="77777777" w:rsidR="00263869" w:rsidRPr="00263869" w:rsidRDefault="00263869" w:rsidP="00263869">
      <w:pPr>
        <w:pStyle w:val="NormaleWeb"/>
        <w:shd w:val="clear" w:color="auto" w:fill="FAF9F6"/>
        <w:spacing w:line="450" w:lineRule="atLeast"/>
        <w:jc w:val="both"/>
        <w:rPr>
          <w:rFonts w:ascii="Garamond" w:hAnsi="Garamond"/>
          <w:color w:val="3E3F3E"/>
          <w:sz w:val="33"/>
          <w:szCs w:val="33"/>
          <w:lang w:val="it-IT"/>
        </w:rPr>
      </w:pPr>
      <w:r w:rsidRPr="00263869">
        <w:rPr>
          <w:rFonts w:ascii="Garamond" w:hAnsi="Garamond"/>
          <w:color w:val="3E3F3E"/>
          <w:sz w:val="33"/>
          <w:szCs w:val="33"/>
          <w:lang w:val="it-IT"/>
        </w:rPr>
        <w:t>I soggetti residenti o dimoranti sul territorio dello Stato italiano, che devono prestare l’ufficio di testimone dinanzi ad autorità straniere, sono citati per il tramite del procuratore della Repubblica presso il tribunale ordinario del luogo in cui la citazione deve essere eseguita. Sebbene l’art. 726 c.p.p. faccia esclusivo riferimento al testimone, appare evidente che la norma debba essere applicata anche alla citazione del perito e del consulente tecnico, figure, del resto, espressamente considerate dall’art. 723, co. 3, c.p.p. (Marchetti, M.R., </w:t>
      </w:r>
      <w:r w:rsidRPr="00263869">
        <w:rPr>
          <w:rFonts w:ascii="Garamond" w:hAnsi="Garamond"/>
          <w:i/>
          <w:iCs/>
          <w:color w:val="3E3F3E"/>
          <w:sz w:val="33"/>
          <w:szCs w:val="33"/>
          <w:lang w:val="it-IT"/>
        </w:rPr>
        <w:t>Ratificato l’Accordo Italia-Svizzera per una migliore assistenza giudiziaria in materia penale</w:t>
      </w:r>
      <w:r w:rsidRPr="00263869">
        <w:rPr>
          <w:rFonts w:ascii="Garamond" w:hAnsi="Garamond"/>
          <w:color w:val="3E3F3E"/>
          <w:sz w:val="33"/>
          <w:szCs w:val="33"/>
          <w:lang w:val="it-IT"/>
        </w:rPr>
        <w:t>, in </w:t>
      </w:r>
      <w:r w:rsidRPr="00263869">
        <w:rPr>
          <w:rFonts w:ascii="Garamond" w:hAnsi="Garamond"/>
          <w:i/>
          <w:iCs/>
          <w:color w:val="3E3F3E"/>
          <w:sz w:val="33"/>
          <w:szCs w:val="33"/>
          <w:lang w:val="it-IT"/>
        </w:rPr>
        <w:t>Dir. pen. e processo</w:t>
      </w:r>
      <w:r w:rsidRPr="00263869">
        <w:rPr>
          <w:rFonts w:ascii="Garamond" w:hAnsi="Garamond"/>
          <w:color w:val="3E3F3E"/>
          <w:sz w:val="33"/>
          <w:szCs w:val="33"/>
          <w:lang w:val="it-IT"/>
        </w:rPr>
        <w:t>, 2002, 112).</w:t>
      </w:r>
    </w:p>
    <w:p w14:paraId="465535E8" w14:textId="77777777" w:rsidR="00263869" w:rsidRPr="00263869" w:rsidRDefault="00263869" w:rsidP="00263869">
      <w:pPr>
        <w:pStyle w:val="NormaleWeb"/>
        <w:shd w:val="clear" w:color="auto" w:fill="FAF9F6"/>
        <w:spacing w:line="450" w:lineRule="atLeast"/>
        <w:jc w:val="both"/>
        <w:rPr>
          <w:rFonts w:ascii="Garamond" w:hAnsi="Garamond"/>
          <w:color w:val="3E3F3E"/>
          <w:sz w:val="33"/>
          <w:szCs w:val="33"/>
          <w:lang w:val="it-IT"/>
        </w:rPr>
      </w:pPr>
      <w:r w:rsidRPr="00263869">
        <w:rPr>
          <w:rFonts w:ascii="Garamond" w:hAnsi="Garamond"/>
          <w:color w:val="3E3F3E"/>
          <w:sz w:val="33"/>
          <w:szCs w:val="33"/>
          <w:lang w:val="it-IT"/>
        </w:rPr>
        <w:t>Superato il filtro politico del ministro della giustizia – necessario anche in tale ipotesi, come si evince dall’art. 723, co. 1, c.p.p. – la richiesta di citazione approda al magistrato del pubblico ministero, che attiva il procedimento di notificazione disciplinato dall’art. 167 c.p.p.</w:t>
      </w:r>
    </w:p>
    <w:p w14:paraId="4E01EABC" w14:textId="77777777" w:rsidR="00263869" w:rsidRPr="00263869" w:rsidRDefault="00263869" w:rsidP="00263869">
      <w:pPr>
        <w:pStyle w:val="NormaleWeb"/>
        <w:shd w:val="clear" w:color="auto" w:fill="FAF9F6"/>
        <w:spacing w:line="450" w:lineRule="atLeast"/>
        <w:jc w:val="both"/>
        <w:rPr>
          <w:rFonts w:ascii="Garamond" w:hAnsi="Garamond"/>
          <w:color w:val="3E3F3E"/>
          <w:sz w:val="33"/>
          <w:szCs w:val="33"/>
          <w:lang w:val="it-IT"/>
        </w:rPr>
      </w:pPr>
      <w:r w:rsidRPr="00263869">
        <w:rPr>
          <w:rFonts w:ascii="Garamond" w:hAnsi="Garamond"/>
          <w:color w:val="3E3F3E"/>
          <w:sz w:val="33"/>
          <w:szCs w:val="33"/>
          <w:lang w:val="it-IT"/>
        </w:rPr>
        <w:t>Ai sensi dell’art. 726 </w:t>
      </w:r>
      <w:r w:rsidRPr="00263869">
        <w:rPr>
          <w:rFonts w:ascii="Garamond" w:hAnsi="Garamond"/>
          <w:i/>
          <w:iCs/>
          <w:color w:val="3E3F3E"/>
          <w:sz w:val="33"/>
          <w:szCs w:val="33"/>
          <w:lang w:val="it-IT"/>
        </w:rPr>
        <w:t>bis</w:t>
      </w:r>
      <w:r w:rsidRPr="00263869">
        <w:rPr>
          <w:rFonts w:ascii="Garamond" w:hAnsi="Garamond"/>
          <w:color w:val="3E3F3E"/>
          <w:sz w:val="33"/>
          <w:szCs w:val="33"/>
          <w:lang w:val="it-IT"/>
        </w:rPr>
        <w:t xml:space="preserve"> c.p.p., anche la notificazione di un atto all’imputato, pure se detenuto, residente o dimorante su territorio italiano, può essere eseguita mediante la procedura semplificata della trasmissione </w:t>
      </w:r>
      <w:r w:rsidRPr="00263869">
        <w:rPr>
          <w:rFonts w:ascii="Garamond" w:hAnsi="Garamond"/>
          <w:color w:val="3E3F3E"/>
          <w:sz w:val="33"/>
          <w:szCs w:val="33"/>
          <w:lang w:val="it-IT"/>
        </w:rPr>
        <w:lastRenderedPageBreak/>
        <w:t>degli atti al procuratore della Repubblica. Ciò, tuttavia, può avvenire solo a condizione che le convenzioni o gli accordi internazionali consentano la notificazione diretta all’interessato mediante il servizio postale e l’autorità straniera intenda comunque avvalersi della notifica ai sensi degli artt. 156-158 c.p.p.</w:t>
      </w:r>
    </w:p>
    <w:p w14:paraId="3A9705E4" w14:textId="77777777" w:rsidR="00263869" w:rsidRPr="00263869" w:rsidRDefault="00263869" w:rsidP="00263869">
      <w:pPr>
        <w:pStyle w:val="Titolo2"/>
        <w:shd w:val="clear" w:color="auto" w:fill="FAF9F6"/>
        <w:spacing w:before="450" w:after="450" w:line="390" w:lineRule="atLeast"/>
        <w:jc w:val="both"/>
        <w:rPr>
          <w:rFonts w:ascii="Montserrat" w:hAnsi="Montserrat"/>
          <w:caps/>
          <w:color w:val="3E3F3E"/>
          <w:sz w:val="32"/>
          <w:szCs w:val="32"/>
          <w:lang w:val="it-IT"/>
        </w:rPr>
      </w:pPr>
      <w:r w:rsidRPr="00263869">
        <w:rPr>
          <w:rStyle w:val="mw-headline"/>
          <w:rFonts w:ascii="Montserrat" w:hAnsi="Montserrat"/>
          <w:caps/>
          <w:color w:val="3E3F3E"/>
          <w:sz w:val="32"/>
          <w:szCs w:val="32"/>
          <w:lang w:val="it-IT"/>
        </w:rPr>
        <w:t>LA ROGATORIA ATTIVA</w:t>
      </w:r>
    </w:p>
    <w:p w14:paraId="4EC9BC44" w14:textId="77777777" w:rsidR="00263869" w:rsidRPr="00263869" w:rsidRDefault="00263869" w:rsidP="00263869">
      <w:pPr>
        <w:pStyle w:val="Titolo3"/>
        <w:shd w:val="clear" w:color="auto" w:fill="FAF9F6"/>
        <w:spacing w:before="450" w:after="450" w:line="390" w:lineRule="atLeast"/>
        <w:jc w:val="both"/>
        <w:rPr>
          <w:rFonts w:ascii="Montserrat" w:hAnsi="Montserrat"/>
          <w:color w:val="3E3F3E"/>
          <w:sz w:val="27"/>
          <w:szCs w:val="27"/>
          <w:lang w:val="it-IT"/>
        </w:rPr>
      </w:pPr>
      <w:r w:rsidRPr="00263869">
        <w:rPr>
          <w:rStyle w:val="mw-headline"/>
          <w:rFonts w:ascii="Montserrat" w:hAnsi="Montserrat"/>
          <w:color w:val="3E3F3E"/>
          <w:lang w:val="it-IT"/>
        </w:rPr>
        <w:t>La richiesta dell’autorità giudiziaria</w:t>
      </w:r>
    </w:p>
    <w:p w14:paraId="2C485EA3" w14:textId="77777777" w:rsidR="00263869" w:rsidRPr="00263869" w:rsidRDefault="00263869" w:rsidP="00263869">
      <w:pPr>
        <w:pStyle w:val="NormaleWeb"/>
        <w:shd w:val="clear" w:color="auto" w:fill="FAF9F6"/>
        <w:spacing w:line="450" w:lineRule="atLeast"/>
        <w:jc w:val="both"/>
        <w:rPr>
          <w:rFonts w:ascii="Garamond" w:hAnsi="Garamond"/>
          <w:color w:val="3E3F3E"/>
          <w:sz w:val="33"/>
          <w:szCs w:val="33"/>
          <w:lang w:val="it-IT"/>
        </w:rPr>
      </w:pPr>
      <w:r w:rsidRPr="00263869">
        <w:rPr>
          <w:rFonts w:ascii="Garamond" w:hAnsi="Garamond"/>
          <w:color w:val="3E3F3E"/>
          <w:sz w:val="33"/>
          <w:szCs w:val="33"/>
          <w:lang w:val="it-IT"/>
        </w:rPr>
        <w:t>L’autorità giudiziaria italiana che intende chiedere la cooperazione di autorità straniere deve trasmettere la propria richiesta al ministro della giustizia, salvo che, trattandosi di procedura d’urgenza, sia consentito l’inoltro diretto.</w:t>
      </w:r>
    </w:p>
    <w:p w14:paraId="6F635633" w14:textId="77777777" w:rsidR="00263869" w:rsidRPr="00263869" w:rsidRDefault="00263869" w:rsidP="00263869">
      <w:pPr>
        <w:pStyle w:val="NormaleWeb"/>
        <w:shd w:val="clear" w:color="auto" w:fill="FAF9F6"/>
        <w:spacing w:line="450" w:lineRule="atLeast"/>
        <w:jc w:val="both"/>
        <w:rPr>
          <w:rFonts w:ascii="Garamond" w:hAnsi="Garamond"/>
          <w:color w:val="3E3F3E"/>
          <w:sz w:val="33"/>
          <w:szCs w:val="33"/>
          <w:lang w:val="it-IT"/>
        </w:rPr>
      </w:pPr>
      <w:r w:rsidRPr="00263869">
        <w:rPr>
          <w:rFonts w:ascii="Garamond" w:hAnsi="Garamond"/>
          <w:color w:val="3E3F3E"/>
          <w:sz w:val="33"/>
          <w:szCs w:val="33"/>
          <w:lang w:val="it-IT"/>
        </w:rPr>
        <w:t>Appare opportuno distinguere, con riferimento alla procedura attiva, la fase della richiesta da quella della ricezione degli atti, al fine di analizzare le questioni giuridiche più rilevanti che si pongono, da un lato, in relazione alla competenza ad inoltrare la richiesta e ai poteri del ministro della giustizia, nonché, dall’altro, rispetto alla validità e all’efficacia, nel procedimento penale interno, degli elementi di prova provenienti dall’estero.</w:t>
      </w:r>
    </w:p>
    <w:p w14:paraId="50EECB34" w14:textId="77777777" w:rsidR="00263869" w:rsidRPr="00263869" w:rsidRDefault="00263869" w:rsidP="00263869">
      <w:pPr>
        <w:pStyle w:val="NormaleWeb"/>
        <w:shd w:val="clear" w:color="auto" w:fill="FAF9F6"/>
        <w:spacing w:line="450" w:lineRule="atLeast"/>
        <w:jc w:val="both"/>
        <w:rPr>
          <w:rFonts w:ascii="Garamond" w:hAnsi="Garamond"/>
          <w:color w:val="3E3F3E"/>
          <w:sz w:val="33"/>
          <w:szCs w:val="33"/>
          <w:lang w:val="it-IT"/>
        </w:rPr>
      </w:pPr>
      <w:r w:rsidRPr="00263869">
        <w:rPr>
          <w:rFonts w:ascii="Garamond" w:hAnsi="Garamond"/>
          <w:color w:val="3E3F3E"/>
          <w:sz w:val="33"/>
          <w:szCs w:val="33"/>
          <w:lang w:val="it-IT"/>
        </w:rPr>
        <w:t xml:space="preserve">Sotto il profilo oggettivo, la rogatoria attiva riguarda – in maniera non dissimile da quella passiva – sia il compimento di atti probatori che di attività strumentali, come le comunicazioni, le notificazioni e le citazioni di imputati, testimoni, periti e consulenti tecnici. Al riguardo, va evidenziato che, a norma dell’art. 728 c.p.p., il soggetto citato dinanzi all’autorità giudiziaria italiana gode, qualora vi compaia, di una forma di immunità, non potendo essere sottoposto ad alcuna misura privativa o restrittiva della libertà personale per fatti anteriori alla notifica della citazione. Tale garanzia – strettamente connaturata al ruolo di imputato, testimone, perito o </w:t>
      </w:r>
      <w:r w:rsidRPr="00263869">
        <w:rPr>
          <w:rFonts w:ascii="Garamond" w:hAnsi="Garamond"/>
          <w:color w:val="3E3F3E"/>
          <w:sz w:val="33"/>
          <w:szCs w:val="33"/>
          <w:lang w:val="it-IT"/>
        </w:rPr>
        <w:lastRenderedPageBreak/>
        <w:t>consulente tecnico – cessa qualora il soggetto, avendone avuta la possibilità e trascorsi quindici giorni dal momento in cui la sua presenza non è più necessaria, non ha lasciato il territorio dello Stato oppure, essendosene allontanato, vi ha fatto ritorno.</w:t>
      </w:r>
    </w:p>
    <w:p w14:paraId="73F65A49" w14:textId="77777777" w:rsidR="00263869" w:rsidRPr="00263869" w:rsidRDefault="00263869" w:rsidP="00263869">
      <w:pPr>
        <w:pStyle w:val="NormaleWeb"/>
        <w:shd w:val="clear" w:color="auto" w:fill="FAF9F6"/>
        <w:spacing w:line="450" w:lineRule="atLeast"/>
        <w:jc w:val="both"/>
        <w:rPr>
          <w:rFonts w:ascii="Garamond" w:hAnsi="Garamond"/>
          <w:color w:val="3E3F3E"/>
          <w:sz w:val="33"/>
          <w:szCs w:val="33"/>
          <w:lang w:val="it-IT"/>
        </w:rPr>
      </w:pPr>
      <w:r w:rsidRPr="00263869">
        <w:rPr>
          <w:rFonts w:ascii="Garamond" w:hAnsi="Garamond"/>
          <w:color w:val="3E3F3E"/>
          <w:sz w:val="33"/>
          <w:szCs w:val="33"/>
          <w:lang w:val="it-IT"/>
        </w:rPr>
        <w:t>Appare opportuno, inoltre, soffermarsi sull’individuazione degli atti di natura probatoria che necessitano della rogatoria per essere assunti all’estero, anche per meglio comprendere l’essenza dell’istituto.</w:t>
      </w:r>
    </w:p>
    <w:p w14:paraId="4CF29EE6" w14:textId="77777777" w:rsidR="00263869" w:rsidRPr="00263869" w:rsidRDefault="00263869" w:rsidP="00263869">
      <w:pPr>
        <w:pStyle w:val="NormaleWeb"/>
        <w:shd w:val="clear" w:color="auto" w:fill="FAF9F6"/>
        <w:spacing w:line="450" w:lineRule="atLeast"/>
        <w:jc w:val="both"/>
        <w:rPr>
          <w:rFonts w:ascii="Garamond" w:hAnsi="Garamond"/>
          <w:color w:val="3E3F3E"/>
          <w:sz w:val="33"/>
          <w:szCs w:val="33"/>
          <w:lang w:val="it-IT"/>
        </w:rPr>
      </w:pPr>
      <w:r w:rsidRPr="00263869">
        <w:rPr>
          <w:rFonts w:ascii="Garamond" w:hAnsi="Garamond"/>
          <w:color w:val="3E3F3E"/>
          <w:sz w:val="33"/>
          <w:szCs w:val="33"/>
          <w:lang w:val="it-IT"/>
        </w:rPr>
        <w:t>La rogatoria – che è strumento volto ad ottenere il compimento, da parte di autorità straniere, di un atto processuale, per utilizzarne le risultanze nel procedimento interno – sembra esulare dall’acquisizione di atti già autonomamente compiuti, per finalità proprie, dalle autorità straniere. In tale evenienza, infatti, l’art. 78 disp. att. c.p.p. consente l’acquisizione – con le forme stabilite dall’art. 238 c.p.p. – della documentazione di atti del procedimento penale compiuti da autorità giudiziarie straniere. Stante il rinvio recettizio all’art. 238 c.p.p. (cfr. Daraio, G., </w:t>
      </w:r>
      <w:r w:rsidRPr="00263869">
        <w:rPr>
          <w:rFonts w:ascii="Garamond" w:hAnsi="Garamond"/>
          <w:i/>
          <w:iCs/>
          <w:color w:val="3E3F3E"/>
          <w:sz w:val="33"/>
          <w:szCs w:val="33"/>
          <w:lang w:val="it-IT"/>
        </w:rPr>
        <w:t>Le rogatorie internazionali</w:t>
      </w:r>
      <w:r w:rsidRPr="00263869">
        <w:rPr>
          <w:rFonts w:ascii="Garamond" w:hAnsi="Garamond"/>
          <w:color w:val="3E3F3E"/>
          <w:sz w:val="33"/>
          <w:szCs w:val="33"/>
          <w:lang w:val="it-IT"/>
        </w:rPr>
        <w:t>, cit., 672 s.), deve ritenersi che la disposizione concerna esclusivamente i verbali di prove assunte in un procedimento penale o civile alle quali la difesa dell’imputato abbia partecipato o sia stata posta in grado di partecipare e i verbali degli atti di indagine irripetibili, limitatamente a quelli compiuti dall’autorità giudiziaria. Oltre agli atti di polizia giudiziaria – i quali, se irripetibili, possono essere acquisiti al fascicolo per il dibattimento solo con il consenso delle parti o previo esame testimoniale del dichiarante – restano esclusi tutti gli atti di indagine ripetibili. Si è osservato, tuttavia, che l’art. 78 disp. att. c.p.p. non è volto a disciplinare i rapporti giurisdizionali tra autorità straniere, ma individua i presupposti e le condizioni per l’acquisizione e l’utilizzazione, dinanzi al giudice italiano, degli atti provenienti da autorità estere mediante rogatoria (Daraio, G., </w:t>
      </w:r>
      <w:r w:rsidRPr="00263869">
        <w:rPr>
          <w:rFonts w:ascii="Garamond" w:hAnsi="Garamond"/>
          <w:i/>
          <w:iCs/>
          <w:color w:val="3E3F3E"/>
          <w:sz w:val="33"/>
          <w:szCs w:val="33"/>
          <w:lang w:val="it-IT"/>
        </w:rPr>
        <w:t>Le rogatorie internazionali</w:t>
      </w:r>
      <w:r w:rsidRPr="00263869">
        <w:rPr>
          <w:rFonts w:ascii="Garamond" w:hAnsi="Garamond"/>
          <w:color w:val="3E3F3E"/>
          <w:sz w:val="33"/>
          <w:szCs w:val="33"/>
          <w:lang w:val="it-IT"/>
        </w:rPr>
        <w:t xml:space="preserve">, cit., 672 s.). In quest’ottica, la rogatoria sarebbe comunque necessaria per ottenere gli atti del procedimento estero, che </w:t>
      </w:r>
      <w:r w:rsidRPr="00263869">
        <w:rPr>
          <w:rFonts w:ascii="Garamond" w:hAnsi="Garamond"/>
          <w:color w:val="3E3F3E"/>
          <w:sz w:val="33"/>
          <w:szCs w:val="33"/>
          <w:lang w:val="it-IT"/>
        </w:rPr>
        <w:lastRenderedPageBreak/>
        <w:t>restano, però, assoggettati alle regole di utilizzabilità sancite dal combinato disposto degli artt. 78 disp. att. c.p.p. e 238 c.p.p.</w:t>
      </w:r>
    </w:p>
    <w:p w14:paraId="12C6CB7A" w14:textId="77777777" w:rsidR="00263869" w:rsidRPr="00263869" w:rsidRDefault="00263869" w:rsidP="00263869">
      <w:pPr>
        <w:pStyle w:val="NormaleWeb"/>
        <w:shd w:val="clear" w:color="auto" w:fill="FAF9F6"/>
        <w:spacing w:line="450" w:lineRule="atLeast"/>
        <w:jc w:val="both"/>
        <w:rPr>
          <w:rFonts w:ascii="Garamond" w:hAnsi="Garamond"/>
          <w:color w:val="3E3F3E"/>
          <w:sz w:val="33"/>
          <w:szCs w:val="33"/>
          <w:lang w:val="it-IT"/>
        </w:rPr>
      </w:pPr>
      <w:r w:rsidRPr="00263869">
        <w:rPr>
          <w:rFonts w:ascii="Garamond" w:hAnsi="Garamond"/>
          <w:color w:val="3E3F3E"/>
          <w:sz w:val="33"/>
          <w:szCs w:val="33"/>
          <w:lang w:val="it-IT"/>
        </w:rPr>
        <w:t>Legittimati a proporre la rogatoria all’estero sono – come precisato dall’art. 727, co. 1, c.p.p. – i «giudici» e i «magistrati del pubblico ministero». Analoga legittimazione non è attribuita al difensore, che – esclusa anche la facoltà di svolgere indagini difensive all’estero (v. Cass. pen., sez. I, 29.5.2007, </w:t>
      </w:r>
      <w:r w:rsidRPr="00263869">
        <w:rPr>
          <w:rFonts w:ascii="Garamond" w:hAnsi="Garamond"/>
          <w:i/>
          <w:iCs/>
          <w:color w:val="3E3F3E"/>
          <w:sz w:val="33"/>
          <w:szCs w:val="33"/>
          <w:lang w:val="it-IT"/>
        </w:rPr>
        <w:t>Kaneva</w:t>
      </w:r>
      <w:r w:rsidRPr="00263869">
        <w:rPr>
          <w:rFonts w:ascii="Garamond" w:hAnsi="Garamond"/>
          <w:color w:val="3E3F3E"/>
          <w:sz w:val="33"/>
          <w:szCs w:val="33"/>
          <w:lang w:val="it-IT"/>
        </w:rPr>
        <w:t>, </w:t>
      </w:r>
      <w:r w:rsidRPr="00263869">
        <w:rPr>
          <w:rFonts w:ascii="Garamond" w:hAnsi="Garamond"/>
          <w:i/>
          <w:iCs/>
          <w:color w:val="3E3F3E"/>
          <w:sz w:val="33"/>
          <w:szCs w:val="33"/>
          <w:lang w:val="it-IT"/>
        </w:rPr>
        <w:t>Riv. it. dir. e proc. pen</w:t>
      </w:r>
      <w:r w:rsidRPr="00263869">
        <w:rPr>
          <w:rFonts w:ascii="Garamond" w:hAnsi="Garamond"/>
          <w:color w:val="3E3F3E"/>
          <w:sz w:val="33"/>
          <w:szCs w:val="33"/>
          <w:lang w:val="it-IT"/>
        </w:rPr>
        <w:t>., 2008, 1382) – può semplicemente sollecitare la richiesta al giudice o al pubblico ministero (cfr. Angeloni, C., </w:t>
      </w:r>
      <w:r w:rsidRPr="00263869">
        <w:rPr>
          <w:rFonts w:ascii="Garamond" w:hAnsi="Garamond"/>
          <w:i/>
          <w:iCs/>
          <w:color w:val="3E3F3E"/>
          <w:sz w:val="33"/>
          <w:szCs w:val="33"/>
          <w:lang w:val="it-IT"/>
        </w:rPr>
        <w:t>L’inammissibilità di investigazioni difensive all’estero: una ricostruzione plausibile?</w:t>
      </w:r>
      <w:r w:rsidRPr="00263869">
        <w:rPr>
          <w:rFonts w:ascii="Garamond" w:hAnsi="Garamond"/>
          <w:color w:val="3E3F3E"/>
          <w:sz w:val="33"/>
          <w:szCs w:val="33"/>
          <w:lang w:val="it-IT"/>
        </w:rPr>
        <w:t>, in </w:t>
      </w:r>
      <w:r w:rsidRPr="00263869">
        <w:rPr>
          <w:rFonts w:ascii="Garamond" w:hAnsi="Garamond"/>
          <w:i/>
          <w:iCs/>
          <w:color w:val="3E3F3E"/>
          <w:sz w:val="33"/>
          <w:szCs w:val="33"/>
          <w:lang w:val="it-IT"/>
        </w:rPr>
        <w:t>Riv. it. dir. e proc. pen</w:t>
      </w:r>
      <w:r w:rsidRPr="00263869">
        <w:rPr>
          <w:rFonts w:ascii="Garamond" w:hAnsi="Garamond"/>
          <w:color w:val="3E3F3E"/>
          <w:sz w:val="33"/>
          <w:szCs w:val="33"/>
          <w:lang w:val="it-IT"/>
        </w:rPr>
        <w:t>., 2008, 1387; Curtotti Nappi, D., </w:t>
      </w:r>
      <w:r w:rsidRPr="00263869">
        <w:rPr>
          <w:rFonts w:ascii="Garamond" w:hAnsi="Garamond"/>
          <w:i/>
          <w:iCs/>
          <w:color w:val="3E3F3E"/>
          <w:sz w:val="33"/>
          <w:szCs w:val="33"/>
          <w:lang w:val="it-IT"/>
        </w:rPr>
        <w:t>I nuovi orizzonti investigativi del difensore: le informazioni assunte all’estero</w:t>
      </w:r>
      <w:r w:rsidRPr="00263869">
        <w:rPr>
          <w:rFonts w:ascii="Garamond" w:hAnsi="Garamond"/>
          <w:color w:val="3E3F3E"/>
          <w:sz w:val="33"/>
          <w:szCs w:val="33"/>
          <w:lang w:val="it-IT"/>
        </w:rPr>
        <w:t>, in </w:t>
      </w:r>
      <w:r w:rsidRPr="00263869">
        <w:rPr>
          <w:rFonts w:ascii="Garamond" w:hAnsi="Garamond"/>
          <w:i/>
          <w:iCs/>
          <w:color w:val="3E3F3E"/>
          <w:sz w:val="33"/>
          <w:szCs w:val="33"/>
          <w:lang w:val="it-IT"/>
        </w:rPr>
        <w:t>Osservatorio penale</w:t>
      </w:r>
      <w:r w:rsidRPr="00263869">
        <w:rPr>
          <w:rFonts w:ascii="Garamond" w:hAnsi="Garamond"/>
          <w:color w:val="3E3F3E"/>
          <w:sz w:val="33"/>
          <w:szCs w:val="33"/>
          <w:lang w:val="it-IT"/>
        </w:rPr>
        <w:t>, 2007, fasc. 2, 14; Marchetti, M.R., </w:t>
      </w:r>
      <w:r w:rsidRPr="00263869">
        <w:rPr>
          <w:rFonts w:ascii="Garamond" w:hAnsi="Garamond"/>
          <w:i/>
          <w:iCs/>
          <w:color w:val="3E3F3E"/>
          <w:sz w:val="33"/>
          <w:szCs w:val="33"/>
          <w:lang w:val="it-IT"/>
        </w:rPr>
        <w:t>L’assistenza giudiziaria internazionale</w:t>
      </w:r>
      <w:r w:rsidRPr="00263869">
        <w:rPr>
          <w:rFonts w:ascii="Garamond" w:hAnsi="Garamond"/>
          <w:color w:val="3E3F3E"/>
          <w:sz w:val="33"/>
          <w:szCs w:val="33"/>
          <w:lang w:val="it-IT"/>
        </w:rPr>
        <w:t>, Milano, 2005, 126).</w:t>
      </w:r>
    </w:p>
    <w:p w14:paraId="6F78CCB4" w14:textId="77777777" w:rsidR="00263869" w:rsidRPr="00263869" w:rsidRDefault="00263869" w:rsidP="00263869">
      <w:pPr>
        <w:pStyle w:val="NormaleWeb"/>
        <w:shd w:val="clear" w:color="auto" w:fill="FAF9F6"/>
        <w:spacing w:line="450" w:lineRule="atLeast"/>
        <w:jc w:val="both"/>
        <w:rPr>
          <w:rFonts w:ascii="Garamond" w:hAnsi="Garamond"/>
          <w:color w:val="3E3F3E"/>
          <w:sz w:val="33"/>
          <w:szCs w:val="33"/>
          <w:lang w:val="it-IT"/>
        </w:rPr>
      </w:pPr>
      <w:r w:rsidRPr="00263869">
        <w:rPr>
          <w:rFonts w:ascii="Garamond" w:hAnsi="Garamond"/>
          <w:color w:val="3E3F3E"/>
          <w:sz w:val="33"/>
          <w:szCs w:val="33"/>
          <w:lang w:val="it-IT"/>
        </w:rPr>
        <w:t>Quanto ai tempi di proposizione della richiesta, non si possono operare distinzioni tra le fasi del procedimento penale, nel senso che la rogatoria è esperibile tanto nel dibattimento quanto durante le indagini preliminari. Ciò si evince dall’art. 407, co. 2, lett. </w:t>
      </w:r>
      <w:r w:rsidRPr="00263869">
        <w:rPr>
          <w:rFonts w:ascii="Garamond" w:hAnsi="Garamond"/>
          <w:i/>
          <w:iCs/>
          <w:color w:val="3E3F3E"/>
          <w:sz w:val="33"/>
          <w:szCs w:val="33"/>
          <w:lang w:val="it-IT"/>
        </w:rPr>
        <w:t>c</w:t>
      </w:r>
      <w:r w:rsidRPr="00263869">
        <w:rPr>
          <w:rFonts w:ascii="Garamond" w:hAnsi="Garamond"/>
          <w:color w:val="3E3F3E"/>
          <w:sz w:val="33"/>
          <w:szCs w:val="33"/>
          <w:lang w:val="it-IT"/>
        </w:rPr>
        <w:t>), c.p.p., che prevede il più ampio termine di durata delle indagini quando occorre compiere atti investigativi all’estero, nonché dall’art. 431, co. 1, lett. </w:t>
      </w:r>
      <w:r w:rsidRPr="00263869">
        <w:rPr>
          <w:rFonts w:ascii="Garamond" w:hAnsi="Garamond"/>
          <w:i/>
          <w:iCs/>
          <w:color w:val="3E3F3E"/>
          <w:sz w:val="33"/>
          <w:szCs w:val="33"/>
          <w:lang w:val="it-IT"/>
        </w:rPr>
        <w:t>d</w:t>
      </w:r>
      <w:r w:rsidRPr="00263869">
        <w:rPr>
          <w:rFonts w:ascii="Garamond" w:hAnsi="Garamond"/>
          <w:color w:val="3E3F3E"/>
          <w:sz w:val="33"/>
          <w:szCs w:val="33"/>
          <w:lang w:val="it-IT"/>
        </w:rPr>
        <w:t>), c.p.p., che consente l’inserimento nel fascicolo per il dibattimento degli atti di indagine non ripetibili assunti mediante rogatoria (cfr. Daraio, G., </w:t>
      </w:r>
      <w:r w:rsidRPr="00263869">
        <w:rPr>
          <w:rFonts w:ascii="Garamond" w:hAnsi="Garamond"/>
          <w:i/>
          <w:iCs/>
          <w:color w:val="3E3F3E"/>
          <w:sz w:val="33"/>
          <w:szCs w:val="33"/>
          <w:lang w:val="it-IT"/>
        </w:rPr>
        <w:t>Le rogatorie internazionali</w:t>
      </w:r>
      <w:r w:rsidRPr="00263869">
        <w:rPr>
          <w:rFonts w:ascii="Garamond" w:hAnsi="Garamond"/>
          <w:color w:val="3E3F3E"/>
          <w:sz w:val="33"/>
          <w:szCs w:val="33"/>
          <w:lang w:val="it-IT"/>
        </w:rPr>
        <w:t>, cit., 664; Pisani, M., </w:t>
      </w:r>
      <w:r w:rsidRPr="00263869">
        <w:rPr>
          <w:rFonts w:ascii="Garamond" w:hAnsi="Garamond"/>
          <w:i/>
          <w:iCs/>
          <w:color w:val="3E3F3E"/>
          <w:sz w:val="33"/>
          <w:szCs w:val="33"/>
          <w:lang w:val="it-IT"/>
        </w:rPr>
        <w:t>Indagini all’estero: appena due anni</w:t>
      </w:r>
      <w:r w:rsidRPr="00263869">
        <w:rPr>
          <w:rFonts w:ascii="Garamond" w:hAnsi="Garamond"/>
          <w:color w:val="3E3F3E"/>
          <w:sz w:val="33"/>
          <w:szCs w:val="33"/>
          <w:lang w:val="it-IT"/>
        </w:rPr>
        <w:t>, </w:t>
      </w:r>
      <w:r w:rsidRPr="00263869">
        <w:rPr>
          <w:rFonts w:ascii="Garamond" w:hAnsi="Garamond"/>
          <w:i/>
          <w:iCs/>
          <w:color w:val="3E3F3E"/>
          <w:sz w:val="33"/>
          <w:szCs w:val="33"/>
          <w:lang w:val="it-IT"/>
        </w:rPr>
        <w:t>Indice pen</w:t>
      </w:r>
      <w:r w:rsidRPr="00263869">
        <w:rPr>
          <w:rFonts w:ascii="Garamond" w:hAnsi="Garamond"/>
          <w:color w:val="3E3F3E"/>
          <w:sz w:val="33"/>
          <w:szCs w:val="33"/>
          <w:lang w:val="it-IT"/>
        </w:rPr>
        <w:t>., 1989, 540). Il generico riferimento al «giudice» − in ragione del quale si è ritenuto di dover includere nell’ambito di operatività della norma il procedimento di esecuzione e, secondo alcuni, anche quello di prevenzione (v. Diotallevi, G., </w:t>
      </w:r>
      <w:r w:rsidRPr="00263869">
        <w:rPr>
          <w:rFonts w:ascii="Garamond" w:hAnsi="Garamond"/>
          <w:i/>
          <w:iCs/>
          <w:color w:val="3E3F3E"/>
          <w:sz w:val="33"/>
          <w:szCs w:val="33"/>
          <w:lang w:val="it-IT"/>
        </w:rPr>
        <w:t>Rapporti giurisdizionali con autorità straniere</w:t>
      </w:r>
      <w:r w:rsidRPr="00263869">
        <w:rPr>
          <w:rFonts w:ascii="Garamond" w:hAnsi="Garamond"/>
          <w:color w:val="3E3F3E"/>
          <w:sz w:val="33"/>
          <w:szCs w:val="33"/>
          <w:lang w:val="it-IT"/>
        </w:rPr>
        <w:t>, in </w:t>
      </w:r>
      <w:r w:rsidRPr="00263869">
        <w:rPr>
          <w:rFonts w:ascii="Garamond" w:hAnsi="Garamond"/>
          <w:i/>
          <w:iCs/>
          <w:color w:val="3E3F3E"/>
          <w:sz w:val="33"/>
          <w:szCs w:val="33"/>
          <w:lang w:val="it-IT"/>
        </w:rPr>
        <w:t>Codice di procedura penale</w:t>
      </w:r>
      <w:r w:rsidRPr="00263869">
        <w:rPr>
          <w:rFonts w:ascii="Garamond" w:hAnsi="Garamond"/>
          <w:color w:val="3E3F3E"/>
          <w:sz w:val="33"/>
          <w:szCs w:val="33"/>
          <w:lang w:val="it-IT"/>
        </w:rPr>
        <w:t>, diretto da G. Lattanzi ed E. Lupo, VIII, Milano, 2008, 528; </w:t>
      </w:r>
      <w:r w:rsidRPr="00263869">
        <w:rPr>
          <w:rFonts w:ascii="Garamond" w:hAnsi="Garamond"/>
          <w:i/>
          <w:iCs/>
          <w:color w:val="3E3F3E"/>
          <w:sz w:val="33"/>
          <w:szCs w:val="33"/>
          <w:lang w:val="it-IT"/>
        </w:rPr>
        <w:t>contra</w:t>
      </w:r>
      <w:r w:rsidRPr="00263869">
        <w:rPr>
          <w:rFonts w:ascii="Garamond" w:hAnsi="Garamond"/>
          <w:color w:val="3E3F3E"/>
          <w:sz w:val="33"/>
          <w:szCs w:val="33"/>
          <w:lang w:val="it-IT"/>
        </w:rPr>
        <w:t>, Marchetti, M.R., </w:t>
      </w:r>
      <w:r w:rsidRPr="00263869">
        <w:rPr>
          <w:rFonts w:ascii="Garamond" w:hAnsi="Garamond"/>
          <w:i/>
          <w:iCs/>
          <w:color w:val="3E3F3E"/>
          <w:sz w:val="33"/>
          <w:szCs w:val="33"/>
          <w:lang w:val="it-IT"/>
        </w:rPr>
        <w:t>L’assistenza giudiziaria internazionale</w:t>
      </w:r>
      <w:r w:rsidRPr="00263869">
        <w:rPr>
          <w:rFonts w:ascii="Garamond" w:hAnsi="Garamond"/>
          <w:color w:val="3E3F3E"/>
          <w:sz w:val="33"/>
          <w:szCs w:val="33"/>
          <w:lang w:val="it-IT"/>
        </w:rPr>
        <w:t xml:space="preserve">, cit., 124) – lascia agevolmente ipotizzare che la rogatoria possa essere richiesta dall’organo giurisdizionale in occasione dell’assunzione di un mezzo di prova con le </w:t>
      </w:r>
      <w:r w:rsidRPr="00263869">
        <w:rPr>
          <w:rFonts w:ascii="Garamond" w:hAnsi="Garamond"/>
          <w:color w:val="3E3F3E"/>
          <w:sz w:val="33"/>
          <w:szCs w:val="33"/>
          <w:lang w:val="it-IT"/>
        </w:rPr>
        <w:lastRenderedPageBreak/>
        <w:t>forme dell’incidente probatorio o in udienza preliminare ai sensi dell’art. 422 c.p.p., nel corso del dibattimento, così come nell’ambito del procedimento camerale o di quello esecutivo (Daraio, G., </w:t>
      </w:r>
      <w:r w:rsidRPr="00263869">
        <w:rPr>
          <w:rFonts w:ascii="Garamond" w:hAnsi="Garamond"/>
          <w:i/>
          <w:iCs/>
          <w:color w:val="3E3F3E"/>
          <w:sz w:val="33"/>
          <w:szCs w:val="33"/>
          <w:lang w:val="it-IT"/>
        </w:rPr>
        <w:t>Le rogatorie internazionali</w:t>
      </w:r>
      <w:r w:rsidRPr="00263869">
        <w:rPr>
          <w:rFonts w:ascii="Garamond" w:hAnsi="Garamond"/>
          <w:color w:val="3E3F3E"/>
          <w:sz w:val="33"/>
          <w:szCs w:val="33"/>
          <w:lang w:val="it-IT"/>
        </w:rPr>
        <w:t>, cit., 666).</w:t>
      </w:r>
    </w:p>
    <w:p w14:paraId="0851F6E0" w14:textId="77777777" w:rsidR="00263869" w:rsidRPr="00263869" w:rsidRDefault="00263869" w:rsidP="00263869">
      <w:pPr>
        <w:pStyle w:val="NormaleWeb"/>
        <w:shd w:val="clear" w:color="auto" w:fill="FAF9F6"/>
        <w:spacing w:line="450" w:lineRule="atLeast"/>
        <w:jc w:val="both"/>
        <w:rPr>
          <w:rFonts w:ascii="Garamond" w:hAnsi="Garamond"/>
          <w:color w:val="3E3F3E"/>
          <w:sz w:val="33"/>
          <w:szCs w:val="33"/>
          <w:lang w:val="it-IT"/>
        </w:rPr>
      </w:pPr>
      <w:r w:rsidRPr="00263869">
        <w:rPr>
          <w:rFonts w:ascii="Garamond" w:hAnsi="Garamond"/>
          <w:color w:val="3E3F3E"/>
          <w:sz w:val="33"/>
          <w:szCs w:val="33"/>
          <w:lang w:val="it-IT"/>
        </w:rPr>
        <w:t>La legge non predetermina il contenuto della richiesta di assistenza, né prescrive particolari forme, ma è evidente che l’atto deve porre in condizione i suoi destinatari – e, cioè, tanto il ministro della giustizia che l’autorità giudiziaria estera – di esercitare il controllo che loro compete. Per conseguire lo scopo, dunque, la rogatoria deve contenere tutte le informazioni necessarie a superare il vaglio di opportunità politica e di ammissibilità giuridica e, successivamente, consentire all’autorità destinataria di compiere l’atto istruttorio in modo conforme alle intenzioni del richiedente. In tal senso, l’art. 727, co. 5-</w:t>
      </w:r>
      <w:r w:rsidRPr="00263869">
        <w:rPr>
          <w:rFonts w:ascii="Garamond" w:hAnsi="Garamond"/>
          <w:i/>
          <w:iCs/>
          <w:color w:val="3E3F3E"/>
          <w:sz w:val="33"/>
          <w:szCs w:val="33"/>
          <w:lang w:val="it-IT"/>
        </w:rPr>
        <w:t>bis</w:t>
      </w:r>
      <w:r w:rsidRPr="00263869">
        <w:rPr>
          <w:rFonts w:ascii="Garamond" w:hAnsi="Garamond"/>
          <w:color w:val="3E3F3E"/>
          <w:sz w:val="33"/>
          <w:szCs w:val="33"/>
          <w:lang w:val="it-IT"/>
        </w:rPr>
        <w:t>, c.p.p. onera l’autorità richiedente di specificare le modalità con le quali va eseguita la rogatoria, indicando, altresì, al destinatario le condizioni da soddisfare per garantire la piena utilizzabilità degli atti richiesti (Selvaggi E., </w:t>
      </w:r>
      <w:r w:rsidRPr="00263869">
        <w:rPr>
          <w:rFonts w:ascii="Garamond" w:hAnsi="Garamond"/>
          <w:i/>
          <w:iCs/>
          <w:color w:val="3E3F3E"/>
          <w:sz w:val="33"/>
          <w:szCs w:val="33"/>
          <w:lang w:val="it-IT"/>
        </w:rPr>
        <w:t>La nuova legge sulle rogatorie</w:t>
      </w:r>
      <w:r w:rsidRPr="00263869">
        <w:rPr>
          <w:rFonts w:ascii="Garamond" w:hAnsi="Garamond"/>
          <w:color w:val="3E3F3E"/>
          <w:sz w:val="33"/>
          <w:szCs w:val="33"/>
          <w:lang w:val="it-IT"/>
        </w:rPr>
        <w:t>, in </w:t>
      </w:r>
      <w:r w:rsidRPr="00263869">
        <w:rPr>
          <w:rFonts w:ascii="Garamond" w:hAnsi="Garamond"/>
          <w:i/>
          <w:iCs/>
          <w:color w:val="3E3F3E"/>
          <w:sz w:val="33"/>
          <w:szCs w:val="33"/>
          <w:lang w:val="it-IT"/>
        </w:rPr>
        <w:t>Cass. pen</w:t>
      </w:r>
      <w:r w:rsidRPr="00263869">
        <w:rPr>
          <w:rFonts w:ascii="Garamond" w:hAnsi="Garamond"/>
          <w:color w:val="3E3F3E"/>
          <w:sz w:val="33"/>
          <w:szCs w:val="33"/>
          <w:lang w:val="it-IT"/>
        </w:rPr>
        <w:t>., 2001, 3254).</w:t>
      </w:r>
    </w:p>
    <w:p w14:paraId="4B78AEFD" w14:textId="77777777" w:rsidR="00263869" w:rsidRPr="00263869" w:rsidRDefault="00263869" w:rsidP="00263869">
      <w:pPr>
        <w:pStyle w:val="NormaleWeb"/>
        <w:shd w:val="clear" w:color="auto" w:fill="FAF9F6"/>
        <w:spacing w:line="450" w:lineRule="atLeast"/>
        <w:jc w:val="both"/>
        <w:rPr>
          <w:rFonts w:ascii="Garamond" w:hAnsi="Garamond"/>
          <w:color w:val="3E3F3E"/>
          <w:sz w:val="33"/>
          <w:szCs w:val="33"/>
          <w:lang w:val="it-IT"/>
        </w:rPr>
      </w:pPr>
      <w:r w:rsidRPr="00263869">
        <w:rPr>
          <w:rFonts w:ascii="Garamond" w:hAnsi="Garamond"/>
          <w:color w:val="3E3F3E"/>
          <w:sz w:val="33"/>
          <w:szCs w:val="33"/>
          <w:lang w:val="it-IT"/>
        </w:rPr>
        <w:t>Stante l’equivoca formulazione della norma, l’autorità giudiziaria non sembra tenuta a redigere la domanda di assistenza nella lingua del paese destinatario, potendo affidare la traduzione – secondo parte della dottrina – al ministro della giustizia (Daraio, G., </w:t>
      </w:r>
      <w:r w:rsidRPr="00263869">
        <w:rPr>
          <w:rFonts w:ascii="Garamond" w:hAnsi="Garamond"/>
          <w:i/>
          <w:iCs/>
          <w:color w:val="3E3F3E"/>
          <w:sz w:val="33"/>
          <w:szCs w:val="33"/>
          <w:lang w:val="it-IT"/>
        </w:rPr>
        <w:t>Le rogatorie internazionali</w:t>
      </w:r>
      <w:r w:rsidRPr="00263869">
        <w:rPr>
          <w:rFonts w:ascii="Garamond" w:hAnsi="Garamond"/>
          <w:color w:val="3E3F3E"/>
          <w:sz w:val="33"/>
          <w:szCs w:val="33"/>
          <w:lang w:val="it-IT"/>
        </w:rPr>
        <w:t>, cit., 670; Diotallevi, G., </w:t>
      </w:r>
      <w:r w:rsidRPr="00263869">
        <w:rPr>
          <w:rFonts w:ascii="Garamond" w:hAnsi="Garamond"/>
          <w:i/>
          <w:iCs/>
          <w:color w:val="3E3F3E"/>
          <w:sz w:val="33"/>
          <w:szCs w:val="33"/>
          <w:lang w:val="it-IT"/>
        </w:rPr>
        <w:t>Rapporti</w:t>
      </w:r>
      <w:r w:rsidRPr="00263869">
        <w:rPr>
          <w:rFonts w:ascii="Garamond" w:hAnsi="Garamond"/>
          <w:color w:val="3E3F3E"/>
          <w:sz w:val="33"/>
          <w:szCs w:val="33"/>
          <w:lang w:val="it-IT"/>
        </w:rPr>
        <w:t>, cit., 540; </w:t>
      </w:r>
      <w:r w:rsidRPr="00263869">
        <w:rPr>
          <w:rFonts w:ascii="Garamond" w:hAnsi="Garamond"/>
          <w:i/>
          <w:iCs/>
          <w:color w:val="3E3F3E"/>
          <w:sz w:val="33"/>
          <w:szCs w:val="33"/>
          <w:lang w:val="it-IT"/>
        </w:rPr>
        <w:t>contra</w:t>
      </w:r>
      <w:r w:rsidRPr="00263869">
        <w:rPr>
          <w:rFonts w:ascii="Garamond" w:hAnsi="Garamond"/>
          <w:color w:val="3E3F3E"/>
          <w:sz w:val="33"/>
          <w:szCs w:val="33"/>
          <w:lang w:val="it-IT"/>
        </w:rPr>
        <w:t>, Carcano, D., </w:t>
      </w:r>
      <w:r w:rsidRPr="00263869">
        <w:rPr>
          <w:rFonts w:ascii="Garamond" w:hAnsi="Garamond"/>
          <w:i/>
          <w:iCs/>
          <w:color w:val="3E3F3E"/>
          <w:sz w:val="33"/>
          <w:szCs w:val="33"/>
          <w:lang w:val="it-IT"/>
        </w:rPr>
        <w:t>Norme comuni e norme internazionali sull’assistenza giudiziaria in materia penale</w:t>
      </w:r>
      <w:r w:rsidRPr="00263869">
        <w:rPr>
          <w:rFonts w:ascii="Garamond" w:hAnsi="Garamond"/>
          <w:color w:val="3E3F3E"/>
          <w:sz w:val="33"/>
          <w:szCs w:val="33"/>
          <w:lang w:val="it-IT"/>
        </w:rPr>
        <w:t>, in </w:t>
      </w:r>
      <w:r w:rsidRPr="00263869">
        <w:rPr>
          <w:rFonts w:ascii="Garamond" w:hAnsi="Garamond"/>
          <w:i/>
          <w:iCs/>
          <w:color w:val="3E3F3E"/>
          <w:sz w:val="33"/>
          <w:szCs w:val="33"/>
          <w:lang w:val="it-IT"/>
        </w:rPr>
        <w:t>Doc. giustizia</w:t>
      </w:r>
      <w:r w:rsidRPr="00263869">
        <w:rPr>
          <w:rFonts w:ascii="Garamond" w:hAnsi="Garamond"/>
          <w:color w:val="3E3F3E"/>
          <w:sz w:val="33"/>
          <w:szCs w:val="33"/>
          <w:lang w:val="it-IT"/>
        </w:rPr>
        <w:t>, 2000, 1059, che ritiene il richiedente obbligato alla traduzione).</w:t>
      </w:r>
    </w:p>
    <w:p w14:paraId="6FDE01EA" w14:textId="77777777" w:rsidR="00263869" w:rsidRPr="00263869" w:rsidRDefault="00263869" w:rsidP="00263869">
      <w:pPr>
        <w:pStyle w:val="NormaleWeb"/>
        <w:shd w:val="clear" w:color="auto" w:fill="FAF9F6"/>
        <w:spacing w:line="450" w:lineRule="atLeast"/>
        <w:jc w:val="both"/>
        <w:rPr>
          <w:rFonts w:ascii="Garamond" w:hAnsi="Garamond"/>
          <w:color w:val="3E3F3E"/>
          <w:sz w:val="33"/>
          <w:szCs w:val="33"/>
          <w:lang w:val="it-IT"/>
        </w:rPr>
      </w:pPr>
      <w:r w:rsidRPr="00263869">
        <w:rPr>
          <w:rFonts w:ascii="Garamond" w:hAnsi="Garamond"/>
          <w:color w:val="3E3F3E"/>
          <w:sz w:val="33"/>
          <w:szCs w:val="33"/>
          <w:lang w:val="it-IT"/>
        </w:rPr>
        <w:t>La domanda – salvo che ricorrano condizioni d’urgenza </w:t>
      </w:r>
      <w:r w:rsidRPr="00263869">
        <w:rPr>
          <w:rFonts w:ascii="Garamond" w:hAnsi="Garamond"/>
          <w:i/>
          <w:iCs/>
          <w:color w:val="3E3F3E"/>
          <w:sz w:val="33"/>
          <w:szCs w:val="33"/>
          <w:lang w:val="it-IT"/>
        </w:rPr>
        <w:t>ex</w:t>
      </w:r>
      <w:r w:rsidRPr="00263869">
        <w:rPr>
          <w:rFonts w:ascii="Garamond" w:hAnsi="Garamond"/>
          <w:color w:val="3E3F3E"/>
          <w:sz w:val="33"/>
          <w:szCs w:val="33"/>
          <w:lang w:val="it-IT"/>
        </w:rPr>
        <w:t xml:space="preserve"> art. 727, co. 5, c.p.p. – va trasmessa al ministro della giustizia, deputato a verificare l’insussistenza di condizioni ostative di natura politica, oltre ad essere comunicata al procuratore nazionale antimafia, qualora la rogatoria sia richiesta dal magistrato del pubblico ministero per uno dei delitti di </w:t>
      </w:r>
      <w:r w:rsidRPr="00263869">
        <w:rPr>
          <w:rFonts w:ascii="Garamond" w:hAnsi="Garamond"/>
          <w:color w:val="3E3F3E"/>
          <w:sz w:val="33"/>
          <w:szCs w:val="33"/>
          <w:lang w:val="it-IT"/>
        </w:rPr>
        <w:lastRenderedPageBreak/>
        <w:t>criminalità organizzata (art. 51, co. 3-</w:t>
      </w:r>
      <w:r w:rsidRPr="00263869">
        <w:rPr>
          <w:rFonts w:ascii="Garamond" w:hAnsi="Garamond"/>
          <w:i/>
          <w:iCs/>
          <w:color w:val="3E3F3E"/>
          <w:sz w:val="33"/>
          <w:szCs w:val="33"/>
          <w:lang w:val="it-IT"/>
        </w:rPr>
        <w:t>bis</w:t>
      </w:r>
      <w:r w:rsidRPr="00263869">
        <w:rPr>
          <w:rFonts w:ascii="Garamond" w:hAnsi="Garamond"/>
          <w:color w:val="3E3F3E"/>
          <w:sz w:val="33"/>
          <w:szCs w:val="33"/>
          <w:lang w:val="it-IT"/>
        </w:rPr>
        <w:t>, c.p.p.). Tale ultimo adempimento, previsto dall’art. 727, co. 5-</w:t>
      </w:r>
      <w:r w:rsidRPr="00263869">
        <w:rPr>
          <w:rFonts w:ascii="Garamond" w:hAnsi="Garamond"/>
          <w:i/>
          <w:iCs/>
          <w:color w:val="3E3F3E"/>
          <w:sz w:val="33"/>
          <w:szCs w:val="33"/>
          <w:lang w:val="it-IT"/>
        </w:rPr>
        <w:t>ter</w:t>
      </w:r>
      <w:r w:rsidRPr="00263869">
        <w:rPr>
          <w:rFonts w:ascii="Garamond" w:hAnsi="Garamond"/>
          <w:color w:val="3E3F3E"/>
          <w:sz w:val="33"/>
          <w:szCs w:val="33"/>
          <w:lang w:val="it-IT"/>
        </w:rPr>
        <w:t>, c.p.p., è funzionale all’esercizio dei poteri di coordinamento e di direzione delle indagini, attribuiti, anche in ambito sovranazionale, alla direzione nazionale antimafia.</w:t>
      </w:r>
    </w:p>
    <w:p w14:paraId="32FC5E54" w14:textId="77777777" w:rsidR="00263869" w:rsidRPr="00263869" w:rsidRDefault="00263869" w:rsidP="00263869">
      <w:pPr>
        <w:pStyle w:val="Titolo3"/>
        <w:shd w:val="clear" w:color="auto" w:fill="FAF9F6"/>
        <w:spacing w:before="450" w:after="450" w:line="390" w:lineRule="atLeast"/>
        <w:jc w:val="both"/>
        <w:rPr>
          <w:rFonts w:ascii="Montserrat" w:hAnsi="Montserrat"/>
          <w:color w:val="3E3F3E"/>
          <w:sz w:val="27"/>
          <w:szCs w:val="27"/>
          <w:lang w:val="it-IT"/>
        </w:rPr>
      </w:pPr>
      <w:r w:rsidRPr="00263869">
        <w:rPr>
          <w:rStyle w:val="mw-headline"/>
          <w:rFonts w:ascii="Montserrat" w:hAnsi="Montserrat"/>
          <w:color w:val="3E3F3E"/>
          <w:lang w:val="it-IT"/>
        </w:rPr>
        <w:t>I poteri del ministro della giustizia</w:t>
      </w:r>
    </w:p>
    <w:p w14:paraId="16BB7AC9" w14:textId="77777777" w:rsidR="00263869" w:rsidRPr="00263869" w:rsidRDefault="00263869" w:rsidP="00263869">
      <w:pPr>
        <w:pStyle w:val="NormaleWeb"/>
        <w:shd w:val="clear" w:color="auto" w:fill="FAF9F6"/>
        <w:spacing w:line="450" w:lineRule="atLeast"/>
        <w:jc w:val="both"/>
        <w:rPr>
          <w:rFonts w:ascii="Garamond" w:hAnsi="Garamond"/>
          <w:color w:val="3E3F3E"/>
          <w:sz w:val="33"/>
          <w:szCs w:val="33"/>
          <w:lang w:val="it-IT"/>
        </w:rPr>
      </w:pPr>
      <w:r w:rsidRPr="00263869">
        <w:rPr>
          <w:rFonts w:ascii="Garamond" w:hAnsi="Garamond"/>
          <w:color w:val="3E3F3E"/>
          <w:sz w:val="33"/>
          <w:szCs w:val="33"/>
          <w:lang w:val="it-IT"/>
        </w:rPr>
        <w:t>Qualunque sia la forma della richiesta di assistenza, ordinaria o urgente, al ministro della giustizia sono comunque conferiti penetranti poteri di veto.</w:t>
      </w:r>
    </w:p>
    <w:p w14:paraId="31622253" w14:textId="77777777" w:rsidR="00263869" w:rsidRPr="00263869" w:rsidRDefault="00263869" w:rsidP="00263869">
      <w:pPr>
        <w:pStyle w:val="NormaleWeb"/>
        <w:shd w:val="clear" w:color="auto" w:fill="FAF9F6"/>
        <w:spacing w:line="450" w:lineRule="atLeast"/>
        <w:jc w:val="both"/>
        <w:rPr>
          <w:rFonts w:ascii="Garamond" w:hAnsi="Garamond"/>
          <w:color w:val="3E3F3E"/>
          <w:sz w:val="33"/>
          <w:szCs w:val="33"/>
          <w:lang w:val="it-IT"/>
        </w:rPr>
      </w:pPr>
      <w:r w:rsidRPr="00263869">
        <w:rPr>
          <w:rFonts w:ascii="Garamond" w:hAnsi="Garamond"/>
          <w:color w:val="3E3F3E"/>
          <w:sz w:val="33"/>
          <w:szCs w:val="33"/>
          <w:lang w:val="it-IT"/>
        </w:rPr>
        <w:t>Nel modello ordinario, disciplinato dall’art. 727, co. 1, c.p.p., la richiesta di rogatoria va trasmessa al ministro della giustizia, che ne cura il successivo inoltro per via diplomatica, mentre la ricorrenza di uno dei casi di urgenza legittima l’invio diretto all’agente diplomatico o consolare italiano, comunque preceduto, però, dalla ricezione di copia dell’atto da parte del ministro (art. 727, co. 5, c.p.p.).</w:t>
      </w:r>
    </w:p>
    <w:p w14:paraId="1CCB9190" w14:textId="77777777" w:rsidR="00263869" w:rsidRPr="00263869" w:rsidRDefault="00263869" w:rsidP="00263869">
      <w:pPr>
        <w:pStyle w:val="NormaleWeb"/>
        <w:shd w:val="clear" w:color="auto" w:fill="FAF9F6"/>
        <w:spacing w:line="450" w:lineRule="atLeast"/>
        <w:jc w:val="both"/>
        <w:rPr>
          <w:rFonts w:ascii="Garamond" w:hAnsi="Garamond"/>
          <w:color w:val="3E3F3E"/>
          <w:sz w:val="33"/>
          <w:szCs w:val="33"/>
          <w:lang w:val="it-IT"/>
        </w:rPr>
      </w:pPr>
      <w:r w:rsidRPr="00263869">
        <w:rPr>
          <w:rFonts w:ascii="Garamond" w:hAnsi="Garamond"/>
          <w:color w:val="3E3F3E"/>
          <w:sz w:val="33"/>
          <w:szCs w:val="33"/>
          <w:lang w:val="it-IT"/>
        </w:rPr>
        <w:t>La procedura è oggettivamente farraginosa, essendo coinvolti plurimi soggetti, con diverse funzioni (giudiziarie, politiche, diplomatiche), ed essendo prevista, anche nei casi di urgenza, la trasmissione degli atti ad un organo diverso dal destinatario della rogatoria (l’agente diplomatico o consolare). Viceversa, la procedura di trasmissione diretta prevista dall’art. 204 </w:t>
      </w:r>
      <w:r w:rsidRPr="00263869">
        <w:rPr>
          <w:rFonts w:ascii="Garamond" w:hAnsi="Garamond"/>
          <w:i/>
          <w:iCs/>
          <w:color w:val="3E3F3E"/>
          <w:sz w:val="33"/>
          <w:szCs w:val="33"/>
          <w:lang w:val="it-IT"/>
        </w:rPr>
        <w:t>bis</w:t>
      </w:r>
      <w:r w:rsidRPr="00263869">
        <w:rPr>
          <w:rFonts w:ascii="Garamond" w:hAnsi="Garamond"/>
          <w:color w:val="3E3F3E"/>
          <w:sz w:val="33"/>
          <w:szCs w:val="33"/>
          <w:lang w:val="it-IT"/>
        </w:rPr>
        <w:t> disp. att. c.p.p. – laddove la disciplina internazionale pattizia ammetta lo scambio di atti tra autorità giudiziarie – favorisce l’instaurazione di un rapporto di assoluta immediatezza tra il richiedente e il destinatario della rogatoria.</w:t>
      </w:r>
    </w:p>
    <w:p w14:paraId="489BF8C2" w14:textId="77777777" w:rsidR="00263869" w:rsidRPr="00263869" w:rsidRDefault="00263869" w:rsidP="00263869">
      <w:pPr>
        <w:pStyle w:val="NormaleWeb"/>
        <w:shd w:val="clear" w:color="auto" w:fill="FAF9F6"/>
        <w:spacing w:line="450" w:lineRule="atLeast"/>
        <w:jc w:val="both"/>
        <w:rPr>
          <w:rFonts w:ascii="Garamond" w:hAnsi="Garamond"/>
          <w:color w:val="3E3F3E"/>
          <w:sz w:val="33"/>
          <w:szCs w:val="33"/>
          <w:lang w:val="it-IT"/>
        </w:rPr>
      </w:pPr>
      <w:r w:rsidRPr="00263869">
        <w:rPr>
          <w:rFonts w:ascii="Garamond" w:hAnsi="Garamond"/>
          <w:color w:val="3E3F3E"/>
          <w:sz w:val="33"/>
          <w:szCs w:val="33"/>
          <w:lang w:val="it-IT"/>
        </w:rPr>
        <w:t xml:space="preserve">Indipendentemente dalle modalità di trasmissione della rogatoria, l’autorità politica verifica l’ammissibilità della richiesta, con una valutazione assolutamente discrezionale e non censurabile in sede giurisdizionale — come si evince dalla forma del decreto non motivato stabilita per il provvedimento di rigetto (ai sensi degli artt. 727, co. 2, e 125, co. 3, c.p.p.) </w:t>
      </w:r>
      <w:r w:rsidRPr="00263869">
        <w:rPr>
          <w:rFonts w:ascii="Garamond" w:hAnsi="Garamond"/>
          <w:color w:val="3E3F3E"/>
          <w:sz w:val="33"/>
          <w:szCs w:val="33"/>
          <w:lang w:val="it-IT"/>
        </w:rPr>
        <w:lastRenderedPageBreak/>
        <w:t>– che è volta ad accertare la potenziale lesione della sicurezza o di altri interessi essenziali dello Stato.</w:t>
      </w:r>
    </w:p>
    <w:p w14:paraId="22A31434" w14:textId="77777777" w:rsidR="00263869" w:rsidRPr="00263869" w:rsidRDefault="00263869" w:rsidP="00263869">
      <w:pPr>
        <w:pStyle w:val="NormaleWeb"/>
        <w:shd w:val="clear" w:color="auto" w:fill="FAF9F6"/>
        <w:spacing w:line="450" w:lineRule="atLeast"/>
        <w:jc w:val="both"/>
        <w:rPr>
          <w:rFonts w:ascii="Garamond" w:hAnsi="Garamond"/>
          <w:color w:val="3E3F3E"/>
          <w:sz w:val="33"/>
          <w:szCs w:val="33"/>
          <w:lang w:val="it-IT"/>
        </w:rPr>
      </w:pPr>
      <w:r w:rsidRPr="00263869">
        <w:rPr>
          <w:rFonts w:ascii="Garamond" w:hAnsi="Garamond"/>
          <w:color w:val="3E3F3E"/>
          <w:sz w:val="33"/>
          <w:szCs w:val="33"/>
          <w:lang w:val="it-IT"/>
        </w:rPr>
        <w:t>Risultano, inoltre, rigorosamente scanditi i termini di intervento del ministro, che è tenuto, in primo luogo, ad informare senza ritardo l’autorità giudiziaria richiedente dell’avvenuta ricezione degli atti. Egli dispone, poi, di un breve lasso di tempo per le proprie determinazioni, quantificato nella sola ipotesi ordinaria in trenta giorni dalla ricezione della richiesta, mentre non risulta fissato un termine per i casi di urgenza, sicché l’intervento ministeriale deve ritenersi consentito, in quei casi, fino a quando gli atti permangono presso l’autorità diplomatica. Le determinazioni ministeriali sull’inoltro della rogatoria vanno comunicate entro cinque giorni all’autorità richiedente, affinché quest’ultima sia posta in grado di adottare tempestivamente le scelte successive.</w:t>
      </w:r>
    </w:p>
    <w:p w14:paraId="654ACDAE" w14:textId="77777777" w:rsidR="00263869" w:rsidRPr="00263869" w:rsidRDefault="00263869" w:rsidP="00263869">
      <w:pPr>
        <w:pStyle w:val="NormaleWeb"/>
        <w:shd w:val="clear" w:color="auto" w:fill="FAF9F6"/>
        <w:spacing w:line="450" w:lineRule="atLeast"/>
        <w:jc w:val="both"/>
        <w:rPr>
          <w:rFonts w:ascii="Garamond" w:hAnsi="Garamond"/>
          <w:color w:val="3E3F3E"/>
          <w:sz w:val="33"/>
          <w:szCs w:val="33"/>
          <w:lang w:val="it-IT"/>
        </w:rPr>
      </w:pPr>
      <w:r w:rsidRPr="00263869">
        <w:rPr>
          <w:rFonts w:ascii="Garamond" w:hAnsi="Garamond"/>
          <w:color w:val="3E3F3E"/>
          <w:sz w:val="33"/>
          <w:szCs w:val="33"/>
          <w:lang w:val="it-IT"/>
        </w:rPr>
        <w:t xml:space="preserve">Se il ministro non assume alcuna determinazione nel termine previsto, la richiesta – secondo il noto meccanismo del silenzio-assenso </w:t>
      </w:r>
      <w:r w:rsidRPr="00263869">
        <w:rPr>
          <w:color w:val="3E3F3E"/>
          <w:sz w:val="33"/>
          <w:szCs w:val="33"/>
          <w:lang w:val="it-IT"/>
        </w:rPr>
        <w:t>‒</w:t>
      </w:r>
      <w:r w:rsidRPr="00263869">
        <w:rPr>
          <w:rFonts w:ascii="Garamond" w:hAnsi="Garamond"/>
          <w:color w:val="3E3F3E"/>
          <w:sz w:val="33"/>
          <w:szCs w:val="33"/>
          <w:lang w:val="it-IT"/>
        </w:rPr>
        <w:t xml:space="preserve"> deve ritenersi ammissibile.</w:t>
      </w:r>
    </w:p>
    <w:p w14:paraId="01C16E4C" w14:textId="77777777" w:rsidR="00263869" w:rsidRPr="00263869" w:rsidRDefault="00263869" w:rsidP="00263869">
      <w:pPr>
        <w:pStyle w:val="NormaleWeb"/>
        <w:shd w:val="clear" w:color="auto" w:fill="FAF9F6"/>
        <w:spacing w:line="450" w:lineRule="atLeast"/>
        <w:jc w:val="both"/>
        <w:rPr>
          <w:rFonts w:ascii="Garamond" w:hAnsi="Garamond"/>
          <w:color w:val="3E3F3E"/>
          <w:sz w:val="33"/>
          <w:szCs w:val="33"/>
          <w:lang w:val="it-IT"/>
        </w:rPr>
      </w:pPr>
      <w:r w:rsidRPr="00263869">
        <w:rPr>
          <w:rFonts w:ascii="Garamond" w:hAnsi="Garamond"/>
          <w:color w:val="3E3F3E"/>
          <w:sz w:val="33"/>
          <w:szCs w:val="33"/>
          <w:lang w:val="it-IT"/>
        </w:rPr>
        <w:t>Non necessariamente, però, il ministro fa da tramite tra l’autorità richiedente e l’agente diplomatico o consolare, poiché l’organo politico, restando inerte, obbliga l’autorità giudiziaria, una volta decorso il termine, a curare direttamente l’inoltro della rogatoria.</w:t>
      </w:r>
    </w:p>
    <w:p w14:paraId="74B1042A" w14:textId="77777777" w:rsidR="00263869" w:rsidRPr="00263869" w:rsidRDefault="00263869" w:rsidP="00263869">
      <w:pPr>
        <w:pStyle w:val="NormaleWeb"/>
        <w:shd w:val="clear" w:color="auto" w:fill="FAF9F6"/>
        <w:spacing w:line="450" w:lineRule="atLeast"/>
        <w:jc w:val="both"/>
        <w:rPr>
          <w:rFonts w:ascii="Garamond" w:hAnsi="Garamond"/>
          <w:color w:val="3E3F3E"/>
          <w:sz w:val="33"/>
          <w:szCs w:val="33"/>
          <w:lang w:val="it-IT"/>
        </w:rPr>
      </w:pPr>
      <w:r w:rsidRPr="00263869">
        <w:rPr>
          <w:rFonts w:ascii="Garamond" w:hAnsi="Garamond"/>
          <w:color w:val="3E3F3E"/>
          <w:sz w:val="33"/>
          <w:szCs w:val="33"/>
          <w:lang w:val="it-IT"/>
        </w:rPr>
        <w:t xml:space="preserve">Gli atti possono pervenire, dunque, alle autorità estere attraverso differenti canali, a seconda che sia il ministro della giustizia ad inoltrarne la trasmissione o l’autorità giudiziaria, che vi provvede – al di là dei casi di urgenza – anche per sopperire all’inerzia dell’organo politico. In tale ipotesi, l’autorità giudiziaria soggiace, però, ad un ulteriore onere informativo, dovendo notiziare dell’inoltro il ministro della giustizia. L’adempimento – probabilmente imposto da mere ragioni di coordinamento dei due soggetti interessati e, comunque, non funzionale all’esercizio di un persistente potere di veto (v., per un’analisi approfondita, </w:t>
      </w:r>
      <w:r w:rsidRPr="00263869">
        <w:rPr>
          <w:rFonts w:ascii="Garamond" w:hAnsi="Garamond"/>
          <w:color w:val="3E3F3E"/>
          <w:sz w:val="33"/>
          <w:szCs w:val="33"/>
          <w:lang w:val="it-IT"/>
        </w:rPr>
        <w:lastRenderedPageBreak/>
        <w:t>Daraio, G., </w:t>
      </w:r>
      <w:r w:rsidRPr="00263869">
        <w:rPr>
          <w:rFonts w:ascii="Garamond" w:hAnsi="Garamond"/>
          <w:i/>
          <w:iCs/>
          <w:color w:val="3E3F3E"/>
          <w:sz w:val="33"/>
          <w:szCs w:val="33"/>
          <w:lang w:val="it-IT"/>
        </w:rPr>
        <w:t>Le rogatorie internazionali</w:t>
      </w:r>
      <w:r w:rsidRPr="00263869">
        <w:rPr>
          <w:rFonts w:ascii="Garamond" w:hAnsi="Garamond"/>
          <w:color w:val="3E3F3E"/>
          <w:sz w:val="33"/>
          <w:szCs w:val="33"/>
          <w:lang w:val="it-IT"/>
        </w:rPr>
        <w:t>, cit., 669 s.; </w:t>
      </w:r>
      <w:r w:rsidRPr="00263869">
        <w:rPr>
          <w:rFonts w:ascii="Garamond" w:hAnsi="Garamond"/>
          <w:i/>
          <w:iCs/>
          <w:color w:val="3E3F3E"/>
          <w:sz w:val="33"/>
          <w:szCs w:val="33"/>
          <w:lang w:val="it-IT"/>
        </w:rPr>
        <w:t>contra</w:t>
      </w:r>
      <w:r w:rsidRPr="00263869">
        <w:rPr>
          <w:rFonts w:ascii="Garamond" w:hAnsi="Garamond"/>
          <w:color w:val="3E3F3E"/>
          <w:sz w:val="33"/>
          <w:szCs w:val="33"/>
          <w:lang w:val="it-IT"/>
        </w:rPr>
        <w:t>, Gaito, A., </w:t>
      </w:r>
      <w:r w:rsidRPr="00263869">
        <w:rPr>
          <w:rFonts w:ascii="Garamond" w:hAnsi="Garamond"/>
          <w:i/>
          <w:iCs/>
          <w:color w:val="3E3F3E"/>
          <w:sz w:val="33"/>
          <w:szCs w:val="33"/>
          <w:lang w:val="it-IT"/>
        </w:rPr>
        <w:t>Rapporti</w:t>
      </w:r>
      <w:r w:rsidRPr="00263869">
        <w:rPr>
          <w:rFonts w:ascii="Garamond" w:hAnsi="Garamond"/>
          <w:color w:val="3E3F3E"/>
          <w:sz w:val="33"/>
          <w:szCs w:val="33"/>
          <w:lang w:val="it-IT"/>
        </w:rPr>
        <w:t>, cit., 1027; Tonini, P., </w:t>
      </w:r>
      <w:r w:rsidRPr="00263869">
        <w:rPr>
          <w:rFonts w:ascii="Garamond" w:hAnsi="Garamond"/>
          <w:i/>
          <w:iCs/>
          <w:color w:val="3E3F3E"/>
          <w:sz w:val="33"/>
          <w:szCs w:val="33"/>
          <w:lang w:val="it-IT"/>
        </w:rPr>
        <w:t>Manuale</w:t>
      </w:r>
      <w:r w:rsidRPr="00263869">
        <w:rPr>
          <w:rFonts w:ascii="Garamond" w:hAnsi="Garamond"/>
          <w:color w:val="3E3F3E"/>
          <w:sz w:val="33"/>
          <w:szCs w:val="33"/>
          <w:lang w:val="it-IT"/>
        </w:rPr>
        <w:t>, cit., 874) – rappresenta l’ulteriore conferma della complessità del procedimento di rogatoria, le cui forme non sempre rispondono al soddisfacimento di esigenze realmente meritevoli di tutela.</w:t>
      </w:r>
    </w:p>
    <w:p w14:paraId="45F9C60E" w14:textId="77777777" w:rsidR="00263869" w:rsidRPr="00263869" w:rsidRDefault="00263869" w:rsidP="00263869">
      <w:pPr>
        <w:pStyle w:val="Titolo3"/>
        <w:shd w:val="clear" w:color="auto" w:fill="FAF9F6"/>
        <w:spacing w:before="450" w:after="450" w:line="390" w:lineRule="atLeast"/>
        <w:jc w:val="both"/>
        <w:rPr>
          <w:rFonts w:ascii="Montserrat" w:hAnsi="Montserrat"/>
          <w:color w:val="3E3F3E"/>
          <w:sz w:val="27"/>
          <w:szCs w:val="27"/>
          <w:lang w:val="it-IT"/>
        </w:rPr>
      </w:pPr>
      <w:r w:rsidRPr="00263869">
        <w:rPr>
          <w:rStyle w:val="mw-headline"/>
          <w:rFonts w:ascii="Montserrat" w:hAnsi="Montserrat"/>
          <w:color w:val="3E3F3E"/>
          <w:lang w:val="it-IT"/>
        </w:rPr>
        <w:t>L'esecuzione e l'utilizzabilità degli atti compiuti</w:t>
      </w:r>
    </w:p>
    <w:p w14:paraId="1A2FEF2A" w14:textId="77777777" w:rsidR="00263869" w:rsidRPr="00263869" w:rsidRDefault="00263869" w:rsidP="00263869">
      <w:pPr>
        <w:pStyle w:val="NormaleWeb"/>
        <w:shd w:val="clear" w:color="auto" w:fill="FAF9F6"/>
        <w:spacing w:line="450" w:lineRule="atLeast"/>
        <w:jc w:val="both"/>
        <w:rPr>
          <w:rFonts w:ascii="Garamond" w:hAnsi="Garamond"/>
          <w:color w:val="3E3F3E"/>
          <w:sz w:val="33"/>
          <w:szCs w:val="33"/>
          <w:lang w:val="it-IT"/>
        </w:rPr>
      </w:pPr>
      <w:r w:rsidRPr="00263869">
        <w:rPr>
          <w:rFonts w:ascii="Garamond" w:hAnsi="Garamond"/>
          <w:color w:val="3E3F3E"/>
          <w:sz w:val="33"/>
          <w:szCs w:val="33"/>
          <w:lang w:val="it-IT"/>
        </w:rPr>
        <w:t>Il compimento all’estero dell’atto richiesto dall’autorità procedente – si tratti o meno di un mezzo di prova – è regolato dalla normativa vigente nello Stato investito della rogatoria, in conformità ad un principio generale del diritto internazionale.</w:t>
      </w:r>
    </w:p>
    <w:p w14:paraId="3BF6DD33" w14:textId="77777777" w:rsidR="00263869" w:rsidRPr="00263869" w:rsidRDefault="00263869" w:rsidP="00263869">
      <w:pPr>
        <w:pStyle w:val="NormaleWeb"/>
        <w:shd w:val="clear" w:color="auto" w:fill="FAF9F6"/>
        <w:spacing w:line="450" w:lineRule="atLeast"/>
        <w:jc w:val="both"/>
        <w:rPr>
          <w:rFonts w:ascii="Garamond" w:hAnsi="Garamond"/>
          <w:color w:val="3E3F3E"/>
          <w:sz w:val="33"/>
          <w:szCs w:val="33"/>
          <w:lang w:val="it-IT"/>
        </w:rPr>
      </w:pPr>
      <w:r w:rsidRPr="00263869">
        <w:rPr>
          <w:rFonts w:ascii="Garamond" w:hAnsi="Garamond"/>
          <w:color w:val="3E3F3E"/>
          <w:sz w:val="33"/>
          <w:szCs w:val="33"/>
          <w:lang w:val="it-IT"/>
        </w:rPr>
        <w:t>La rigida applicazione di tale principio rischia, tuttavia, di vanificare l’utilità della rogatoria, poiché l’eventuale difformità dell’atto dal paradigma legale interno potrebbe dar luogo alla sua invalidità. Ciò spiega perché la possibilità che la rogatoria sia eseguita con le forme previste dallo Stato richiedente – inserita in numerosi accordi internazionali – è stata espressamente contemplata dall’art. 727, co. 5-</w:t>
      </w:r>
      <w:r w:rsidRPr="00263869">
        <w:rPr>
          <w:rFonts w:ascii="Garamond" w:hAnsi="Garamond"/>
          <w:i/>
          <w:iCs/>
          <w:color w:val="3E3F3E"/>
          <w:sz w:val="33"/>
          <w:szCs w:val="33"/>
          <w:lang w:val="it-IT"/>
        </w:rPr>
        <w:t>bis</w:t>
      </w:r>
      <w:r w:rsidRPr="00263869">
        <w:rPr>
          <w:rFonts w:ascii="Garamond" w:hAnsi="Garamond"/>
          <w:color w:val="3E3F3E"/>
          <w:sz w:val="33"/>
          <w:szCs w:val="33"/>
          <w:lang w:val="it-IT"/>
        </w:rPr>
        <w:t>, c.p.p.</w:t>
      </w:r>
    </w:p>
    <w:p w14:paraId="0890B730" w14:textId="77777777" w:rsidR="00263869" w:rsidRPr="00263869" w:rsidRDefault="00263869" w:rsidP="00263869">
      <w:pPr>
        <w:pStyle w:val="NormaleWeb"/>
        <w:shd w:val="clear" w:color="auto" w:fill="FAF9F6"/>
        <w:spacing w:line="450" w:lineRule="atLeast"/>
        <w:jc w:val="both"/>
        <w:rPr>
          <w:rFonts w:ascii="Garamond" w:hAnsi="Garamond"/>
          <w:color w:val="3E3F3E"/>
          <w:sz w:val="33"/>
          <w:szCs w:val="33"/>
          <w:lang w:val="it-IT"/>
        </w:rPr>
      </w:pPr>
      <w:r w:rsidRPr="00263869">
        <w:rPr>
          <w:rFonts w:ascii="Garamond" w:hAnsi="Garamond"/>
          <w:color w:val="3E3F3E"/>
          <w:sz w:val="33"/>
          <w:szCs w:val="33"/>
          <w:lang w:val="it-IT"/>
        </w:rPr>
        <w:t>L’esecuzione della rogatoria con modalità diverse da quelle espressamente indicate dall’autorità richiedente comporta – per espressa previsione normativa (art. 729, co. 1-</w:t>
      </w:r>
      <w:r w:rsidRPr="00263869">
        <w:rPr>
          <w:rFonts w:ascii="Garamond" w:hAnsi="Garamond"/>
          <w:i/>
          <w:iCs/>
          <w:color w:val="3E3F3E"/>
          <w:sz w:val="33"/>
          <w:szCs w:val="33"/>
          <w:lang w:val="it-IT"/>
        </w:rPr>
        <w:t>bis</w:t>
      </w:r>
      <w:r w:rsidRPr="00263869">
        <w:rPr>
          <w:rFonts w:ascii="Garamond" w:hAnsi="Garamond"/>
          <w:color w:val="3E3F3E"/>
          <w:sz w:val="33"/>
          <w:szCs w:val="33"/>
          <w:lang w:val="it-IT"/>
        </w:rPr>
        <w:t>, c.p.p.) – l’inutilizzabilità degli atti compiuti, rilevabile in ogni stato e grado del procedimento. Si ritiene, al riguardo, che anche la sola mancata prova dell’adempimento delle modalità previste dall’ordinamento italiano – e indicate dall’autorità rogante nella domanda di assistenza giudiziaria – determini l’inutilizzabilità dell’atto (Cass. pen., sez. IV, 26.5.2010, n. 25050, in Cass. pen., 2011, 2320, che ha ritenuto insufficiente l’attestazione, contenuta nel verbale redatto in sede di rogatoria, di avvenuto compimento degli adempimenti richiesti, ovvero l’avviso all’autorità italiana della data e del luogo fissati per l’espletamento dell’atto).</w:t>
      </w:r>
    </w:p>
    <w:p w14:paraId="32D04EC1" w14:textId="77777777" w:rsidR="00263869" w:rsidRPr="00263869" w:rsidRDefault="00263869" w:rsidP="00263869">
      <w:pPr>
        <w:pStyle w:val="NormaleWeb"/>
        <w:shd w:val="clear" w:color="auto" w:fill="FAF9F6"/>
        <w:spacing w:line="450" w:lineRule="atLeast"/>
        <w:jc w:val="both"/>
        <w:rPr>
          <w:rFonts w:ascii="Garamond" w:hAnsi="Garamond"/>
          <w:color w:val="3E3F3E"/>
          <w:sz w:val="33"/>
          <w:szCs w:val="33"/>
          <w:lang w:val="it-IT"/>
        </w:rPr>
      </w:pPr>
      <w:r w:rsidRPr="00263869">
        <w:rPr>
          <w:rFonts w:ascii="Garamond" w:hAnsi="Garamond"/>
          <w:color w:val="3E3F3E"/>
          <w:sz w:val="33"/>
          <w:szCs w:val="33"/>
          <w:lang w:val="it-IT"/>
        </w:rPr>
        <w:lastRenderedPageBreak/>
        <w:t>In realtà, sono almeno quattro le ipotesi di inutilizzabilità degli elementi di prova acquisiti mediante rogatoria, per violazioni attinenti alla specialità, all’acquisizione della prova, alle modalità di trasmissione o all’uso probatorio delle dichiarazioni (Daraio, G., </w:t>
      </w:r>
      <w:r w:rsidRPr="00263869">
        <w:rPr>
          <w:rFonts w:ascii="Garamond" w:hAnsi="Garamond"/>
          <w:i/>
          <w:iCs/>
          <w:color w:val="3E3F3E"/>
          <w:sz w:val="33"/>
          <w:szCs w:val="33"/>
          <w:lang w:val="it-IT"/>
        </w:rPr>
        <w:t>Le rogatorie internazionali</w:t>
      </w:r>
      <w:r w:rsidRPr="00263869">
        <w:rPr>
          <w:rFonts w:ascii="Garamond" w:hAnsi="Garamond"/>
          <w:color w:val="3E3F3E"/>
          <w:sz w:val="33"/>
          <w:szCs w:val="33"/>
          <w:lang w:val="it-IT"/>
        </w:rPr>
        <w:t>, cit., 687).</w:t>
      </w:r>
    </w:p>
    <w:p w14:paraId="7C6A234B" w14:textId="77777777" w:rsidR="00263869" w:rsidRPr="00263869" w:rsidRDefault="00263869" w:rsidP="00263869">
      <w:pPr>
        <w:pStyle w:val="NormaleWeb"/>
        <w:shd w:val="clear" w:color="auto" w:fill="FAF9F6"/>
        <w:spacing w:line="450" w:lineRule="atLeast"/>
        <w:jc w:val="both"/>
        <w:rPr>
          <w:rFonts w:ascii="Garamond" w:hAnsi="Garamond"/>
          <w:color w:val="3E3F3E"/>
          <w:sz w:val="33"/>
          <w:szCs w:val="33"/>
          <w:lang w:val="it-IT"/>
        </w:rPr>
      </w:pPr>
      <w:r w:rsidRPr="00263869">
        <w:rPr>
          <w:rFonts w:ascii="Garamond" w:hAnsi="Garamond"/>
          <w:color w:val="3E3F3E"/>
          <w:sz w:val="33"/>
          <w:szCs w:val="33"/>
          <w:lang w:val="it-IT"/>
        </w:rPr>
        <w:t>Nel testo originario dell’art. 729 c.p.p., il regime di utilizzabilità dei risultati della rogatoria non presentava alcuna sostanziale differenza rispetto a quello degli atti interni, fatta eccezione per la violazione del principio di specialità, ovvero per l’inosservanza delle condizioni vincolanti apposte dall’autorità dello Stato richiesto all’utilizzazione della prova rogata. In quest’ottica, chiaramente volta a prevenire l’insorgenza di controversie internazionali (v. Relazione al progetto preliminare, 156), l’inutilizzabilità tutelava prevalentemente gli interessi politici dello Stato richiesto e, solo in via indiretta, le esigenze dell’ordinamento italiano.</w:t>
      </w:r>
    </w:p>
    <w:p w14:paraId="0ED8E4A4" w14:textId="77777777" w:rsidR="00263869" w:rsidRPr="00263869" w:rsidRDefault="00263869" w:rsidP="00263869">
      <w:pPr>
        <w:pStyle w:val="NormaleWeb"/>
        <w:shd w:val="clear" w:color="auto" w:fill="FAF9F6"/>
        <w:spacing w:line="450" w:lineRule="atLeast"/>
        <w:jc w:val="both"/>
        <w:rPr>
          <w:rFonts w:ascii="Garamond" w:hAnsi="Garamond"/>
          <w:color w:val="3E3F3E"/>
          <w:sz w:val="33"/>
          <w:szCs w:val="33"/>
          <w:lang w:val="it-IT"/>
        </w:rPr>
      </w:pPr>
      <w:r w:rsidRPr="00263869">
        <w:rPr>
          <w:rFonts w:ascii="Garamond" w:hAnsi="Garamond"/>
          <w:color w:val="3E3F3E"/>
          <w:sz w:val="33"/>
          <w:szCs w:val="33"/>
          <w:lang w:val="it-IT"/>
        </w:rPr>
        <w:t>Per effetto delle modifiche apportate dalla l. n. 367/2001, l’art. 729 c.p.p. ha assunto l’attuale fisionomia, che ha suscitato, peraltro, un acceso dibattito in dottrina (cfr., per tutti, Diddi, A., </w:t>
      </w:r>
      <w:r w:rsidRPr="00263869">
        <w:rPr>
          <w:rFonts w:ascii="Garamond" w:hAnsi="Garamond"/>
          <w:i/>
          <w:iCs/>
          <w:color w:val="3E3F3E"/>
          <w:sz w:val="33"/>
          <w:szCs w:val="33"/>
          <w:lang w:val="it-IT"/>
        </w:rPr>
        <w:t>Il novum della recente disciplina sulle rogatorie internazionali</w:t>
      </w:r>
      <w:r w:rsidRPr="00263869">
        <w:rPr>
          <w:rFonts w:ascii="Garamond" w:hAnsi="Garamond"/>
          <w:color w:val="3E3F3E"/>
          <w:sz w:val="33"/>
          <w:szCs w:val="33"/>
          <w:lang w:val="it-IT"/>
        </w:rPr>
        <w:t>, in </w:t>
      </w:r>
      <w:r w:rsidRPr="00263869">
        <w:rPr>
          <w:rFonts w:ascii="Garamond" w:hAnsi="Garamond"/>
          <w:i/>
          <w:iCs/>
          <w:color w:val="3E3F3E"/>
          <w:sz w:val="33"/>
          <w:szCs w:val="33"/>
          <w:lang w:val="it-IT"/>
        </w:rPr>
        <w:t>Giust. pen</w:t>
      </w:r>
      <w:r w:rsidRPr="00263869">
        <w:rPr>
          <w:rFonts w:ascii="Garamond" w:hAnsi="Garamond"/>
          <w:color w:val="3E3F3E"/>
          <w:sz w:val="33"/>
          <w:szCs w:val="33"/>
          <w:lang w:val="it-IT"/>
        </w:rPr>
        <w:t>., 2002, III, 606; Marchetti, M.R., </w:t>
      </w:r>
      <w:r w:rsidRPr="00263869">
        <w:rPr>
          <w:rFonts w:ascii="Garamond" w:hAnsi="Garamond"/>
          <w:i/>
          <w:iCs/>
          <w:color w:val="3E3F3E"/>
          <w:sz w:val="33"/>
          <w:szCs w:val="33"/>
          <w:lang w:val="it-IT"/>
        </w:rPr>
        <w:t>Ratificato l’accordo</w:t>
      </w:r>
      <w:r w:rsidRPr="00263869">
        <w:rPr>
          <w:rFonts w:ascii="Garamond" w:hAnsi="Garamond"/>
          <w:color w:val="3E3F3E"/>
          <w:sz w:val="33"/>
          <w:szCs w:val="33"/>
          <w:lang w:val="it-IT"/>
        </w:rPr>
        <w:t>, cit., 143; Scella, A., </w:t>
      </w:r>
      <w:r w:rsidRPr="00263869">
        <w:rPr>
          <w:rFonts w:ascii="Garamond" w:hAnsi="Garamond"/>
          <w:i/>
          <w:iCs/>
          <w:color w:val="3E3F3E"/>
          <w:sz w:val="33"/>
          <w:szCs w:val="33"/>
          <w:lang w:val="it-IT"/>
        </w:rPr>
        <w:t>L’inutilizzabilità delle prove raccolte all’estero</w:t>
      </w:r>
      <w:r w:rsidRPr="00263869">
        <w:rPr>
          <w:rFonts w:ascii="Garamond" w:hAnsi="Garamond"/>
          <w:color w:val="3E3F3E"/>
          <w:sz w:val="33"/>
          <w:szCs w:val="33"/>
          <w:lang w:val="it-IT"/>
        </w:rPr>
        <w:t>, in </w:t>
      </w:r>
      <w:r w:rsidRPr="00263869">
        <w:rPr>
          <w:rFonts w:ascii="Garamond" w:hAnsi="Garamond"/>
          <w:i/>
          <w:iCs/>
          <w:color w:val="3E3F3E"/>
          <w:sz w:val="33"/>
          <w:szCs w:val="33"/>
          <w:lang w:val="it-IT"/>
        </w:rPr>
        <w:t>Rogatorie penali e cooperazione giudiziaria internazionale</w:t>
      </w:r>
      <w:r w:rsidRPr="00263869">
        <w:rPr>
          <w:rFonts w:ascii="Garamond" w:hAnsi="Garamond"/>
          <w:color w:val="3E3F3E"/>
          <w:sz w:val="33"/>
          <w:szCs w:val="33"/>
          <w:lang w:val="it-IT"/>
        </w:rPr>
        <w:t>, a cura di G. La Greca e M.R. Marchetti, Torino, 2003, 361).</w:t>
      </w:r>
    </w:p>
    <w:p w14:paraId="31C82CBD" w14:textId="77777777" w:rsidR="00263869" w:rsidRPr="00263869" w:rsidRDefault="00263869" w:rsidP="00263869">
      <w:pPr>
        <w:pStyle w:val="NormaleWeb"/>
        <w:shd w:val="clear" w:color="auto" w:fill="FAF9F6"/>
        <w:spacing w:line="450" w:lineRule="atLeast"/>
        <w:jc w:val="both"/>
        <w:rPr>
          <w:rFonts w:ascii="Garamond" w:hAnsi="Garamond"/>
          <w:color w:val="3E3F3E"/>
          <w:sz w:val="33"/>
          <w:szCs w:val="33"/>
          <w:lang w:val="it-IT"/>
        </w:rPr>
      </w:pPr>
      <w:r w:rsidRPr="00263869">
        <w:rPr>
          <w:rFonts w:ascii="Garamond" w:hAnsi="Garamond"/>
          <w:color w:val="3E3F3E"/>
          <w:sz w:val="33"/>
          <w:szCs w:val="33"/>
          <w:lang w:val="it-IT"/>
        </w:rPr>
        <w:t>La prova acquisita mediante rogatoria non è utilizzabile, allo stato, se trasmessa o acquisita con modalità difformi da quelle stabilite dal diritto internazionale generale o pattizio e, dunque, in violazione dell’art. 696, co. 1, c.p.p. – richiamato dall’art. 729, co. 1, c.p.p. – che opera un rinvio recettizio alle fonti sovranazionali (sul punto, cfr. Daraio, G., </w:t>
      </w:r>
      <w:r w:rsidRPr="00263869">
        <w:rPr>
          <w:rFonts w:ascii="Garamond" w:hAnsi="Garamond"/>
          <w:i/>
          <w:iCs/>
          <w:color w:val="3E3F3E"/>
          <w:sz w:val="33"/>
          <w:szCs w:val="33"/>
          <w:lang w:val="it-IT"/>
        </w:rPr>
        <w:t>Le rogatorie internazionali</w:t>
      </w:r>
      <w:r w:rsidRPr="00263869">
        <w:rPr>
          <w:rFonts w:ascii="Garamond" w:hAnsi="Garamond"/>
          <w:color w:val="3E3F3E"/>
          <w:sz w:val="33"/>
          <w:szCs w:val="33"/>
          <w:lang w:val="it-IT"/>
        </w:rPr>
        <w:t>, cit., 691, nonché Scella, A., </w:t>
      </w:r>
      <w:r w:rsidRPr="00263869">
        <w:rPr>
          <w:rFonts w:ascii="Garamond" w:hAnsi="Garamond"/>
          <w:i/>
          <w:iCs/>
          <w:color w:val="3E3F3E"/>
          <w:sz w:val="33"/>
          <w:szCs w:val="33"/>
          <w:lang w:val="it-IT"/>
        </w:rPr>
        <w:t>L’inutilizzabilità delle prove raccolte all’estero</w:t>
      </w:r>
      <w:r w:rsidRPr="00263869">
        <w:rPr>
          <w:rFonts w:ascii="Garamond" w:hAnsi="Garamond"/>
          <w:color w:val="3E3F3E"/>
          <w:sz w:val="33"/>
          <w:szCs w:val="33"/>
          <w:lang w:val="it-IT"/>
        </w:rPr>
        <w:t>, cit., 361, che sottolinea la difficoltà di un’esatta ricostruzione della disciplina applicabile).</w:t>
      </w:r>
    </w:p>
    <w:p w14:paraId="67691B3C" w14:textId="77777777" w:rsidR="00263869" w:rsidRPr="00263869" w:rsidRDefault="00263869" w:rsidP="00263869">
      <w:pPr>
        <w:pStyle w:val="NormaleWeb"/>
        <w:shd w:val="clear" w:color="auto" w:fill="FAF9F6"/>
        <w:spacing w:line="450" w:lineRule="atLeast"/>
        <w:jc w:val="both"/>
        <w:rPr>
          <w:rFonts w:ascii="Garamond" w:hAnsi="Garamond"/>
          <w:color w:val="3E3F3E"/>
          <w:sz w:val="33"/>
          <w:szCs w:val="33"/>
          <w:lang w:val="it-IT"/>
        </w:rPr>
      </w:pPr>
      <w:r w:rsidRPr="00263869">
        <w:rPr>
          <w:rFonts w:ascii="Garamond" w:hAnsi="Garamond"/>
          <w:color w:val="3E3F3E"/>
          <w:sz w:val="33"/>
          <w:szCs w:val="33"/>
          <w:lang w:val="it-IT"/>
        </w:rPr>
        <w:lastRenderedPageBreak/>
        <w:t>Quanto alla trasmissione degli atti – che deve tener conto, peraltro, di eventuali prassi applicative, ai sensi dell’art. 31, par. 3, lett. </w:t>
      </w:r>
      <w:r w:rsidRPr="00263869">
        <w:rPr>
          <w:rFonts w:ascii="Garamond" w:hAnsi="Garamond"/>
          <w:i/>
          <w:iCs/>
          <w:color w:val="3E3F3E"/>
          <w:sz w:val="33"/>
          <w:szCs w:val="33"/>
          <w:lang w:val="it-IT"/>
        </w:rPr>
        <w:t>b</w:t>
      </w:r>
      <w:r w:rsidRPr="00263869">
        <w:rPr>
          <w:rFonts w:ascii="Garamond" w:hAnsi="Garamond"/>
          <w:color w:val="3E3F3E"/>
          <w:sz w:val="33"/>
          <w:szCs w:val="33"/>
          <w:lang w:val="it-IT"/>
        </w:rPr>
        <w:t>), della Convenzione di Vienna sul diritto dei trattati (cfr. Scella, A., </w:t>
      </w:r>
      <w:r w:rsidRPr="00263869">
        <w:rPr>
          <w:rFonts w:ascii="Garamond" w:hAnsi="Garamond"/>
          <w:i/>
          <w:iCs/>
          <w:color w:val="3E3F3E"/>
          <w:sz w:val="33"/>
          <w:szCs w:val="33"/>
          <w:lang w:val="it-IT"/>
        </w:rPr>
        <w:t>L’inutilizzabilità delle prove raccolte all’estero</w:t>
      </w:r>
      <w:r w:rsidRPr="00263869">
        <w:rPr>
          <w:rFonts w:ascii="Garamond" w:hAnsi="Garamond"/>
          <w:color w:val="3E3F3E"/>
          <w:sz w:val="33"/>
          <w:szCs w:val="33"/>
          <w:lang w:val="it-IT"/>
        </w:rPr>
        <w:t>, cit., 361) – particolarmente controverso è il divieto di utilizzare copie non munite della certificazione di conformità, previsto da diversi testi convenzionali e, soprattutto, dall’art., 3 par. 3, della Convenzione di assistenza giudiziaria. Tale condizione – che attiene ai documenti e ai fascicoli, ma non anche agli atti processuali compiuti mediante rogatoria (Cass. pen., sez. VI, 7.10.2002, </w:t>
      </w:r>
      <w:r w:rsidRPr="00263869">
        <w:rPr>
          <w:rFonts w:ascii="Garamond" w:hAnsi="Garamond"/>
          <w:i/>
          <w:iCs/>
          <w:color w:val="3E3F3E"/>
          <w:sz w:val="33"/>
          <w:szCs w:val="33"/>
          <w:lang w:val="it-IT"/>
        </w:rPr>
        <w:t>Venturini</w:t>
      </w:r>
      <w:r w:rsidRPr="00263869">
        <w:rPr>
          <w:rFonts w:ascii="Garamond" w:hAnsi="Garamond"/>
          <w:color w:val="3E3F3E"/>
          <w:sz w:val="33"/>
          <w:szCs w:val="33"/>
          <w:lang w:val="it-IT"/>
        </w:rPr>
        <w:t>, in </w:t>
      </w:r>
      <w:r w:rsidRPr="00263869">
        <w:rPr>
          <w:rFonts w:ascii="Garamond" w:hAnsi="Garamond"/>
          <w:i/>
          <w:iCs/>
          <w:color w:val="3E3F3E"/>
          <w:sz w:val="33"/>
          <w:szCs w:val="33"/>
          <w:lang w:val="it-IT"/>
        </w:rPr>
        <w:t>C.E.D. Cass</w:t>
      </w:r>
      <w:r w:rsidRPr="00263869">
        <w:rPr>
          <w:rFonts w:ascii="Garamond" w:hAnsi="Garamond"/>
          <w:color w:val="3E3F3E"/>
          <w:sz w:val="33"/>
          <w:szCs w:val="33"/>
          <w:lang w:val="it-IT"/>
        </w:rPr>
        <w:t>., n. 223180) – è volta a garantire l’autenticità dei documenti trasmessi, se provvisti dell’attestazione di conformità a quelli in possesso dell’autorità richiesta. Al riguardo, la giurisprudenza ritiene sufficiente un atto formale di trasmissione dell’autorità straniera che garantisca, anche solo implicitamente, l’autenticità e la conformità degli atti inviati in semplice fotocopia (Cass. pen., sez. II, 29.4.2009, n. 34511, in </w:t>
      </w:r>
      <w:r w:rsidRPr="00263869">
        <w:rPr>
          <w:rFonts w:ascii="Garamond" w:hAnsi="Garamond"/>
          <w:i/>
          <w:iCs/>
          <w:color w:val="3E3F3E"/>
          <w:sz w:val="33"/>
          <w:szCs w:val="33"/>
          <w:lang w:val="it-IT"/>
        </w:rPr>
        <w:t>Cass. pen</w:t>
      </w:r>
      <w:r w:rsidRPr="00263869">
        <w:rPr>
          <w:rFonts w:ascii="Garamond" w:hAnsi="Garamond"/>
          <w:color w:val="3E3F3E"/>
          <w:sz w:val="33"/>
          <w:szCs w:val="33"/>
          <w:lang w:val="it-IT"/>
        </w:rPr>
        <w:t>., 2011, 1176; Cass. pen., sez. IV, 4.5.2006, n. 33519, </w:t>
      </w:r>
      <w:r w:rsidRPr="00263869">
        <w:rPr>
          <w:rFonts w:ascii="Garamond" w:hAnsi="Garamond"/>
          <w:i/>
          <w:iCs/>
          <w:color w:val="3E3F3E"/>
          <w:sz w:val="33"/>
          <w:szCs w:val="33"/>
          <w:lang w:val="it-IT"/>
        </w:rPr>
        <w:t>Acampora</w:t>
      </w:r>
      <w:r w:rsidRPr="00263869">
        <w:rPr>
          <w:rFonts w:ascii="Garamond" w:hAnsi="Garamond"/>
          <w:color w:val="3E3F3E"/>
          <w:sz w:val="33"/>
          <w:szCs w:val="33"/>
          <w:lang w:val="it-IT"/>
        </w:rPr>
        <w:t>, </w:t>
      </w:r>
      <w:r w:rsidRPr="00263869">
        <w:rPr>
          <w:rFonts w:ascii="Garamond" w:hAnsi="Garamond"/>
          <w:i/>
          <w:iCs/>
          <w:color w:val="3E3F3E"/>
          <w:sz w:val="33"/>
          <w:szCs w:val="33"/>
          <w:lang w:val="it-IT"/>
        </w:rPr>
        <w:t>ivi</w:t>
      </w:r>
      <w:r w:rsidRPr="00263869">
        <w:rPr>
          <w:rFonts w:ascii="Garamond" w:hAnsi="Garamond"/>
          <w:color w:val="3E3F3E"/>
          <w:sz w:val="33"/>
          <w:szCs w:val="33"/>
          <w:lang w:val="it-IT"/>
        </w:rPr>
        <w:t>, 2007, 519; Cass. pen., sez. VI, 22.9.2004, n. 44830, </w:t>
      </w:r>
      <w:r w:rsidRPr="00263869">
        <w:rPr>
          <w:rFonts w:ascii="Garamond" w:hAnsi="Garamond"/>
          <w:i/>
          <w:iCs/>
          <w:color w:val="3E3F3E"/>
          <w:sz w:val="33"/>
          <w:szCs w:val="33"/>
          <w:lang w:val="it-IT"/>
        </w:rPr>
        <w:t>ivi</w:t>
      </w:r>
      <w:r w:rsidRPr="00263869">
        <w:rPr>
          <w:rFonts w:ascii="Garamond" w:hAnsi="Garamond"/>
          <w:color w:val="3E3F3E"/>
          <w:sz w:val="33"/>
          <w:szCs w:val="33"/>
          <w:lang w:val="it-IT"/>
        </w:rPr>
        <w:t>, 2006, 3738; Cass. pen., sez. IV, 19.2.2004, n. 18660, </w:t>
      </w:r>
      <w:r w:rsidRPr="00263869">
        <w:rPr>
          <w:rFonts w:ascii="Garamond" w:hAnsi="Garamond"/>
          <w:i/>
          <w:iCs/>
          <w:color w:val="3E3F3E"/>
          <w:sz w:val="33"/>
          <w:szCs w:val="33"/>
          <w:lang w:val="it-IT"/>
        </w:rPr>
        <w:t>ivi</w:t>
      </w:r>
      <w:r w:rsidRPr="00263869">
        <w:rPr>
          <w:rFonts w:ascii="Garamond" w:hAnsi="Garamond"/>
          <w:color w:val="3E3F3E"/>
          <w:sz w:val="33"/>
          <w:szCs w:val="33"/>
          <w:lang w:val="it-IT"/>
        </w:rPr>
        <w:t>, 2005, 2034; Cass. pen., sez. I, 16.10.2002, n. 37774, in </w:t>
      </w:r>
      <w:r w:rsidRPr="00263869">
        <w:rPr>
          <w:rFonts w:ascii="Garamond" w:hAnsi="Garamond"/>
          <w:i/>
          <w:iCs/>
          <w:color w:val="3E3F3E"/>
          <w:sz w:val="33"/>
          <w:szCs w:val="33"/>
          <w:lang w:val="it-IT"/>
        </w:rPr>
        <w:t>Arch. nuova proc. pen</w:t>
      </w:r>
      <w:r w:rsidRPr="00263869">
        <w:rPr>
          <w:rFonts w:ascii="Garamond" w:hAnsi="Garamond"/>
          <w:color w:val="3E3F3E"/>
          <w:sz w:val="33"/>
          <w:szCs w:val="33"/>
          <w:lang w:val="it-IT"/>
        </w:rPr>
        <w:t>., 2003, 625; tale orientamento è avallato, peraltro, dalla dottrina prevalente: cfr. Ciampi, A., </w:t>
      </w:r>
      <w:r w:rsidRPr="00263869">
        <w:rPr>
          <w:rFonts w:ascii="Garamond" w:hAnsi="Garamond"/>
          <w:i/>
          <w:iCs/>
          <w:color w:val="3E3F3E"/>
          <w:sz w:val="33"/>
          <w:szCs w:val="33"/>
          <w:lang w:val="it-IT"/>
        </w:rPr>
        <w:t>L’assunzione di prove penali all’estero</w:t>
      </w:r>
      <w:r w:rsidRPr="00263869">
        <w:rPr>
          <w:rFonts w:ascii="Garamond" w:hAnsi="Garamond"/>
          <w:color w:val="3E3F3E"/>
          <w:sz w:val="33"/>
          <w:szCs w:val="33"/>
          <w:lang w:val="it-IT"/>
        </w:rPr>
        <w:t>, Padova, 2003, 155 ss.; Carcano, D., </w:t>
      </w:r>
      <w:r w:rsidRPr="00263869">
        <w:rPr>
          <w:rFonts w:ascii="Garamond" w:hAnsi="Garamond"/>
          <w:i/>
          <w:iCs/>
          <w:color w:val="3E3F3E"/>
          <w:sz w:val="33"/>
          <w:szCs w:val="33"/>
          <w:lang w:val="it-IT"/>
        </w:rPr>
        <w:t>L’irregolarità dello Stato estero blocca la prova</w:t>
      </w:r>
      <w:r w:rsidRPr="00263869">
        <w:rPr>
          <w:rFonts w:ascii="Garamond" w:hAnsi="Garamond"/>
          <w:color w:val="3E3F3E"/>
          <w:sz w:val="33"/>
          <w:szCs w:val="33"/>
          <w:lang w:val="it-IT"/>
        </w:rPr>
        <w:t>, in </w:t>
      </w:r>
      <w:r w:rsidRPr="00263869">
        <w:rPr>
          <w:rFonts w:ascii="Garamond" w:hAnsi="Garamond"/>
          <w:i/>
          <w:iCs/>
          <w:color w:val="3E3F3E"/>
          <w:sz w:val="33"/>
          <w:szCs w:val="33"/>
          <w:lang w:val="it-IT"/>
        </w:rPr>
        <w:t>Guida dir</w:t>
      </w:r>
      <w:r w:rsidRPr="00263869">
        <w:rPr>
          <w:rFonts w:ascii="Garamond" w:hAnsi="Garamond"/>
          <w:color w:val="3E3F3E"/>
          <w:sz w:val="33"/>
          <w:szCs w:val="33"/>
          <w:lang w:val="it-IT"/>
        </w:rPr>
        <w:t>., 2001, fasc. 42, 52; Lattanzi, G.-Selvaggi, E., </w:t>
      </w:r>
      <w:r w:rsidRPr="00263869">
        <w:rPr>
          <w:rFonts w:ascii="Garamond" w:hAnsi="Garamond"/>
          <w:i/>
          <w:iCs/>
          <w:color w:val="3E3F3E"/>
          <w:sz w:val="33"/>
          <w:szCs w:val="33"/>
          <w:lang w:val="it-IT"/>
        </w:rPr>
        <w:t>Formalismi inutili e assenza di semplificazioni. Il Bel Paese fuori dal solco della cooperazione</w:t>
      </w:r>
      <w:r w:rsidRPr="00263869">
        <w:rPr>
          <w:rFonts w:ascii="Garamond" w:hAnsi="Garamond"/>
          <w:color w:val="3E3F3E"/>
          <w:sz w:val="33"/>
          <w:szCs w:val="33"/>
          <w:lang w:val="it-IT"/>
        </w:rPr>
        <w:t>, </w:t>
      </w:r>
      <w:r w:rsidRPr="00263869">
        <w:rPr>
          <w:rFonts w:ascii="Garamond" w:hAnsi="Garamond"/>
          <w:i/>
          <w:iCs/>
          <w:color w:val="3E3F3E"/>
          <w:sz w:val="33"/>
          <w:szCs w:val="33"/>
          <w:lang w:val="it-IT"/>
        </w:rPr>
        <w:t>ivi</w:t>
      </w:r>
      <w:r w:rsidRPr="00263869">
        <w:rPr>
          <w:rFonts w:ascii="Garamond" w:hAnsi="Garamond"/>
          <w:color w:val="3E3F3E"/>
          <w:sz w:val="33"/>
          <w:szCs w:val="33"/>
          <w:lang w:val="it-IT"/>
        </w:rPr>
        <w:t>, 2002, n. 46, 65; Nuzzo, F., </w:t>
      </w:r>
      <w:r w:rsidRPr="00263869">
        <w:rPr>
          <w:rFonts w:ascii="Garamond" w:hAnsi="Garamond"/>
          <w:i/>
          <w:iCs/>
          <w:color w:val="3E3F3E"/>
          <w:sz w:val="33"/>
          <w:szCs w:val="33"/>
          <w:lang w:val="it-IT"/>
        </w:rPr>
        <w:t>In tema di rogatorie rileva la prassi internazionale</w:t>
      </w:r>
      <w:r w:rsidRPr="00263869">
        <w:rPr>
          <w:rFonts w:ascii="Garamond" w:hAnsi="Garamond"/>
          <w:color w:val="3E3F3E"/>
          <w:sz w:val="33"/>
          <w:szCs w:val="33"/>
          <w:lang w:val="it-IT"/>
        </w:rPr>
        <w:t>, in </w:t>
      </w:r>
      <w:r w:rsidRPr="00263869">
        <w:rPr>
          <w:rFonts w:ascii="Garamond" w:hAnsi="Garamond"/>
          <w:i/>
          <w:iCs/>
          <w:color w:val="3E3F3E"/>
          <w:sz w:val="33"/>
          <w:szCs w:val="33"/>
          <w:lang w:val="it-IT"/>
        </w:rPr>
        <w:t>Cass. pen</w:t>
      </w:r>
      <w:r w:rsidRPr="00263869">
        <w:rPr>
          <w:rFonts w:ascii="Garamond" w:hAnsi="Garamond"/>
          <w:color w:val="3E3F3E"/>
          <w:sz w:val="33"/>
          <w:szCs w:val="33"/>
          <w:lang w:val="it-IT"/>
        </w:rPr>
        <w:t>., 2003, 755; Presutti, A., </w:t>
      </w:r>
      <w:r w:rsidRPr="00263869">
        <w:rPr>
          <w:rFonts w:ascii="Garamond" w:hAnsi="Garamond"/>
          <w:i/>
          <w:iCs/>
          <w:color w:val="3E3F3E"/>
          <w:sz w:val="33"/>
          <w:szCs w:val="33"/>
          <w:lang w:val="it-IT"/>
        </w:rPr>
        <w:t>Legge sulle rogatorie internazionali e inutilizzabilità della prova</w:t>
      </w:r>
      <w:r w:rsidRPr="00263869">
        <w:rPr>
          <w:rFonts w:ascii="Garamond" w:hAnsi="Garamond"/>
          <w:color w:val="3E3F3E"/>
          <w:sz w:val="33"/>
          <w:szCs w:val="33"/>
          <w:lang w:val="it-IT"/>
        </w:rPr>
        <w:t>, in </w:t>
      </w:r>
      <w:r w:rsidRPr="00263869">
        <w:rPr>
          <w:rFonts w:ascii="Garamond" w:hAnsi="Garamond"/>
          <w:i/>
          <w:iCs/>
          <w:color w:val="3E3F3E"/>
          <w:sz w:val="33"/>
          <w:szCs w:val="33"/>
          <w:lang w:val="it-IT"/>
        </w:rPr>
        <w:t>Riv. it. dir. e proc. pen</w:t>
      </w:r>
      <w:r w:rsidRPr="00263869">
        <w:rPr>
          <w:rFonts w:ascii="Garamond" w:hAnsi="Garamond"/>
          <w:color w:val="3E3F3E"/>
          <w:sz w:val="33"/>
          <w:szCs w:val="33"/>
          <w:lang w:val="it-IT"/>
        </w:rPr>
        <w:t>., 2003, 1164; Scella, A., </w:t>
      </w:r>
      <w:r w:rsidRPr="00263869">
        <w:rPr>
          <w:rFonts w:ascii="Garamond" w:hAnsi="Garamond"/>
          <w:i/>
          <w:iCs/>
          <w:color w:val="3E3F3E"/>
          <w:sz w:val="33"/>
          <w:szCs w:val="33"/>
          <w:lang w:val="it-IT"/>
        </w:rPr>
        <w:t>L’inutilizzabilità delle prove raccolte all’estero mediante rogatoria</w:t>
      </w:r>
      <w:r w:rsidRPr="00263869">
        <w:rPr>
          <w:rFonts w:ascii="Garamond" w:hAnsi="Garamond"/>
          <w:color w:val="3E3F3E"/>
          <w:sz w:val="33"/>
          <w:szCs w:val="33"/>
          <w:lang w:val="it-IT"/>
        </w:rPr>
        <w:t>, cit., 349 s.; Secchi, Z., </w:t>
      </w:r>
      <w:r w:rsidRPr="00263869">
        <w:rPr>
          <w:rFonts w:ascii="Garamond" w:hAnsi="Garamond"/>
          <w:i/>
          <w:iCs/>
          <w:color w:val="3E3F3E"/>
          <w:sz w:val="33"/>
          <w:szCs w:val="33"/>
          <w:lang w:val="it-IT"/>
        </w:rPr>
        <w:t>Rogatorie con la Svizzera: risposta italiana alle attività transnazionali della criminalità</w:t>
      </w:r>
      <w:r w:rsidRPr="00263869">
        <w:rPr>
          <w:rFonts w:ascii="Garamond" w:hAnsi="Garamond"/>
          <w:color w:val="3E3F3E"/>
          <w:sz w:val="33"/>
          <w:szCs w:val="33"/>
          <w:lang w:val="it-IT"/>
        </w:rPr>
        <w:t>, in </w:t>
      </w:r>
      <w:r w:rsidRPr="00263869">
        <w:rPr>
          <w:rFonts w:ascii="Garamond" w:hAnsi="Garamond"/>
          <w:i/>
          <w:iCs/>
          <w:color w:val="3E3F3E"/>
          <w:sz w:val="33"/>
          <w:szCs w:val="33"/>
          <w:lang w:val="it-IT"/>
        </w:rPr>
        <w:t>Questione giust.</w:t>
      </w:r>
      <w:r w:rsidRPr="00263869">
        <w:rPr>
          <w:rFonts w:ascii="Garamond" w:hAnsi="Garamond"/>
          <w:color w:val="3E3F3E"/>
          <w:sz w:val="33"/>
          <w:szCs w:val="33"/>
          <w:lang w:val="it-IT"/>
        </w:rPr>
        <w:t>, 2002, 90; Selvaggi, E., </w:t>
      </w:r>
      <w:r w:rsidRPr="00263869">
        <w:rPr>
          <w:rFonts w:ascii="Garamond" w:hAnsi="Garamond"/>
          <w:i/>
          <w:iCs/>
          <w:color w:val="3E3F3E"/>
          <w:sz w:val="33"/>
          <w:szCs w:val="33"/>
          <w:lang w:val="it-IT"/>
        </w:rPr>
        <w:t>La nuova legge sulle rogatorie</w:t>
      </w:r>
      <w:r w:rsidRPr="00263869">
        <w:rPr>
          <w:rFonts w:ascii="Garamond" w:hAnsi="Garamond"/>
          <w:color w:val="3E3F3E"/>
          <w:sz w:val="33"/>
          <w:szCs w:val="33"/>
          <w:lang w:val="it-IT"/>
        </w:rPr>
        <w:t>, in </w:t>
      </w:r>
      <w:r w:rsidRPr="00263869">
        <w:rPr>
          <w:rFonts w:ascii="Garamond" w:hAnsi="Garamond"/>
          <w:i/>
          <w:iCs/>
          <w:color w:val="3E3F3E"/>
          <w:sz w:val="33"/>
          <w:szCs w:val="33"/>
          <w:lang w:val="it-IT"/>
        </w:rPr>
        <w:t>Cass. pen</w:t>
      </w:r>
      <w:r w:rsidRPr="00263869">
        <w:rPr>
          <w:rFonts w:ascii="Garamond" w:hAnsi="Garamond"/>
          <w:color w:val="3E3F3E"/>
          <w:sz w:val="33"/>
          <w:szCs w:val="33"/>
          <w:lang w:val="it-IT"/>
        </w:rPr>
        <w:t>., 2001, 3255).</w:t>
      </w:r>
    </w:p>
    <w:p w14:paraId="4646BF10" w14:textId="77777777" w:rsidR="00263869" w:rsidRPr="00263869" w:rsidRDefault="00263869" w:rsidP="00263869">
      <w:pPr>
        <w:pStyle w:val="NormaleWeb"/>
        <w:shd w:val="clear" w:color="auto" w:fill="FAF9F6"/>
        <w:spacing w:line="450" w:lineRule="atLeast"/>
        <w:jc w:val="both"/>
        <w:rPr>
          <w:rFonts w:ascii="Garamond" w:hAnsi="Garamond"/>
          <w:color w:val="3E3F3E"/>
          <w:sz w:val="33"/>
          <w:szCs w:val="33"/>
          <w:lang w:val="it-IT"/>
        </w:rPr>
      </w:pPr>
      <w:r w:rsidRPr="00263869">
        <w:rPr>
          <w:rFonts w:ascii="Garamond" w:hAnsi="Garamond"/>
          <w:color w:val="3E3F3E"/>
          <w:sz w:val="33"/>
          <w:szCs w:val="33"/>
          <w:lang w:val="it-IT"/>
        </w:rPr>
        <w:lastRenderedPageBreak/>
        <w:t>Le regole da applicare per l’acquisizione della prova rogata – salva l’ipotesi prevista dall’art. 727, co. 5-</w:t>
      </w:r>
      <w:r w:rsidRPr="00263869">
        <w:rPr>
          <w:rFonts w:ascii="Garamond" w:hAnsi="Garamond"/>
          <w:i/>
          <w:iCs/>
          <w:color w:val="3E3F3E"/>
          <w:sz w:val="33"/>
          <w:szCs w:val="33"/>
          <w:lang w:val="it-IT"/>
        </w:rPr>
        <w:t>bis</w:t>
      </w:r>
      <w:r w:rsidRPr="00263869">
        <w:rPr>
          <w:rFonts w:ascii="Garamond" w:hAnsi="Garamond"/>
          <w:color w:val="3E3F3E"/>
          <w:sz w:val="33"/>
          <w:szCs w:val="33"/>
          <w:lang w:val="it-IT"/>
        </w:rPr>
        <w:t>, c.p.p. – sono quelle dello Stato richiesto, sicché l’inutilizzabilità può verificarsi per inosservanza della </w:t>
      </w:r>
      <w:r w:rsidRPr="00263869">
        <w:rPr>
          <w:rFonts w:ascii="Garamond" w:hAnsi="Garamond"/>
          <w:i/>
          <w:iCs/>
          <w:color w:val="3E3F3E"/>
          <w:sz w:val="33"/>
          <w:szCs w:val="33"/>
          <w:lang w:val="it-IT"/>
        </w:rPr>
        <w:t>lex loci</w:t>
      </w:r>
      <w:r w:rsidRPr="00263869">
        <w:rPr>
          <w:rFonts w:ascii="Garamond" w:hAnsi="Garamond"/>
          <w:color w:val="3E3F3E"/>
          <w:sz w:val="33"/>
          <w:szCs w:val="33"/>
          <w:lang w:val="it-IT"/>
        </w:rPr>
        <w:t>.</w:t>
      </w:r>
    </w:p>
    <w:p w14:paraId="231CA2BB" w14:textId="77777777" w:rsidR="00263869" w:rsidRPr="00263869" w:rsidRDefault="00263869" w:rsidP="00263869">
      <w:pPr>
        <w:pStyle w:val="NormaleWeb"/>
        <w:shd w:val="clear" w:color="auto" w:fill="FAF9F6"/>
        <w:spacing w:line="450" w:lineRule="atLeast"/>
        <w:jc w:val="both"/>
        <w:rPr>
          <w:rFonts w:ascii="Garamond" w:hAnsi="Garamond"/>
          <w:color w:val="3E3F3E"/>
          <w:sz w:val="33"/>
          <w:szCs w:val="33"/>
          <w:lang w:val="it-IT"/>
        </w:rPr>
      </w:pPr>
      <w:r w:rsidRPr="00263869">
        <w:rPr>
          <w:rFonts w:ascii="Garamond" w:hAnsi="Garamond"/>
          <w:color w:val="3E3F3E"/>
          <w:sz w:val="33"/>
          <w:szCs w:val="33"/>
          <w:lang w:val="it-IT"/>
        </w:rPr>
        <w:t>Decisamente più problematica, invece, anche alla luce del rilievo che hanno assunto i principi del giusto processo dopo la riscrittura dell’art. 111 Cost., è la verifica della valenza probatoria degli elementi di prova acquisiti in conformità alla </w:t>
      </w:r>
      <w:r w:rsidRPr="00263869">
        <w:rPr>
          <w:rFonts w:ascii="Garamond" w:hAnsi="Garamond"/>
          <w:i/>
          <w:iCs/>
          <w:color w:val="3E3F3E"/>
          <w:sz w:val="33"/>
          <w:szCs w:val="33"/>
          <w:lang w:val="it-IT"/>
        </w:rPr>
        <w:t>lex loci</w:t>
      </w:r>
      <w:r w:rsidRPr="00263869">
        <w:rPr>
          <w:rFonts w:ascii="Garamond" w:hAnsi="Garamond"/>
          <w:color w:val="3E3F3E"/>
          <w:sz w:val="33"/>
          <w:szCs w:val="33"/>
          <w:lang w:val="it-IT"/>
        </w:rPr>
        <w:t>, quando le modalità della loro formazione appaiono potenzialmente lesive di norme fondamentali dell’ordinamento giuridico italiano.</w:t>
      </w:r>
    </w:p>
    <w:p w14:paraId="1C9B9237" w14:textId="77777777" w:rsidR="00263869" w:rsidRPr="00263869" w:rsidRDefault="00263869" w:rsidP="00263869">
      <w:pPr>
        <w:pStyle w:val="NormaleWeb"/>
        <w:shd w:val="clear" w:color="auto" w:fill="FAF9F6"/>
        <w:spacing w:line="450" w:lineRule="atLeast"/>
        <w:jc w:val="both"/>
        <w:rPr>
          <w:rFonts w:ascii="Garamond" w:hAnsi="Garamond"/>
          <w:color w:val="3E3F3E"/>
          <w:sz w:val="33"/>
          <w:szCs w:val="33"/>
          <w:lang w:val="it-IT"/>
        </w:rPr>
      </w:pPr>
      <w:r w:rsidRPr="00263869">
        <w:rPr>
          <w:rFonts w:ascii="Garamond" w:hAnsi="Garamond"/>
          <w:color w:val="3E3F3E"/>
          <w:sz w:val="33"/>
          <w:szCs w:val="33"/>
          <w:lang w:val="it-IT"/>
        </w:rPr>
        <w:t>In forza del principio sancito dall’art. 111, co. 4, Cost., va indubbiamente esclusa l’utilizzabilità delle prove dichiarative assunte senza partecipazione difensiva, salvo che la mancata osservanza delle garanzie del contraddittorio sia riconducibile all’oggettiva impossibilità di formazione dialettica dell’atto (in giurisprudenza, Cass. pen., sez. I, 3.3.2003, n. 19678, </w:t>
      </w:r>
      <w:r w:rsidRPr="00263869">
        <w:rPr>
          <w:rFonts w:ascii="Garamond" w:hAnsi="Garamond"/>
          <w:i/>
          <w:iCs/>
          <w:color w:val="3E3F3E"/>
          <w:sz w:val="33"/>
          <w:szCs w:val="33"/>
          <w:lang w:val="it-IT"/>
        </w:rPr>
        <w:t>Figini</w:t>
      </w:r>
      <w:r w:rsidRPr="00263869">
        <w:rPr>
          <w:rFonts w:ascii="Garamond" w:hAnsi="Garamond"/>
          <w:color w:val="3E3F3E"/>
          <w:sz w:val="33"/>
          <w:szCs w:val="33"/>
          <w:lang w:val="it-IT"/>
        </w:rPr>
        <w:t>, in </w:t>
      </w:r>
      <w:r w:rsidRPr="00263869">
        <w:rPr>
          <w:rFonts w:ascii="Garamond" w:hAnsi="Garamond"/>
          <w:i/>
          <w:iCs/>
          <w:color w:val="3E3F3E"/>
          <w:sz w:val="33"/>
          <w:szCs w:val="33"/>
          <w:lang w:val="it-IT"/>
        </w:rPr>
        <w:t>Cass. pen</w:t>
      </w:r>
      <w:r w:rsidRPr="00263869">
        <w:rPr>
          <w:rFonts w:ascii="Garamond" w:hAnsi="Garamond"/>
          <w:color w:val="3E3F3E"/>
          <w:sz w:val="33"/>
          <w:szCs w:val="33"/>
          <w:lang w:val="it-IT"/>
        </w:rPr>
        <w:t>., 2004, 442; Cass pen., 12.4.2002, n. 28845, </w:t>
      </w:r>
      <w:r w:rsidRPr="00263869">
        <w:rPr>
          <w:rFonts w:ascii="Garamond" w:hAnsi="Garamond"/>
          <w:i/>
          <w:iCs/>
          <w:color w:val="3E3F3E"/>
          <w:sz w:val="33"/>
          <w:szCs w:val="33"/>
          <w:lang w:val="it-IT"/>
        </w:rPr>
        <w:t>Daneluzzi</w:t>
      </w:r>
      <w:r w:rsidRPr="00263869">
        <w:rPr>
          <w:rFonts w:ascii="Garamond" w:hAnsi="Garamond"/>
          <w:color w:val="3E3F3E"/>
          <w:sz w:val="33"/>
          <w:szCs w:val="33"/>
          <w:lang w:val="it-IT"/>
        </w:rPr>
        <w:t>, in </w:t>
      </w:r>
      <w:r w:rsidRPr="00263869">
        <w:rPr>
          <w:rFonts w:ascii="Garamond" w:hAnsi="Garamond"/>
          <w:i/>
          <w:iCs/>
          <w:color w:val="3E3F3E"/>
          <w:sz w:val="33"/>
          <w:szCs w:val="33"/>
          <w:lang w:val="it-IT"/>
        </w:rPr>
        <w:t>C.E.D. Cass</w:t>
      </w:r>
      <w:r w:rsidRPr="00263869">
        <w:rPr>
          <w:rFonts w:ascii="Garamond" w:hAnsi="Garamond"/>
          <w:color w:val="3E3F3E"/>
          <w:sz w:val="33"/>
          <w:szCs w:val="33"/>
          <w:lang w:val="it-IT"/>
        </w:rPr>
        <w:t>., n. 222743; in precedenza, Cass. pen., sez. I, 28.11.2002, n. 41005, </w:t>
      </w:r>
      <w:r w:rsidRPr="00263869">
        <w:rPr>
          <w:rFonts w:ascii="Garamond" w:hAnsi="Garamond"/>
          <w:i/>
          <w:iCs/>
          <w:color w:val="3E3F3E"/>
          <w:sz w:val="33"/>
          <w:szCs w:val="33"/>
          <w:lang w:val="it-IT"/>
        </w:rPr>
        <w:t>Acri</w:t>
      </w:r>
      <w:r w:rsidRPr="00263869">
        <w:rPr>
          <w:rFonts w:ascii="Garamond" w:hAnsi="Garamond"/>
          <w:color w:val="3E3F3E"/>
          <w:sz w:val="33"/>
          <w:szCs w:val="33"/>
          <w:lang w:val="it-IT"/>
        </w:rPr>
        <w:t>, </w:t>
      </w:r>
      <w:r w:rsidRPr="00263869">
        <w:rPr>
          <w:rFonts w:ascii="Garamond" w:hAnsi="Garamond"/>
          <w:i/>
          <w:iCs/>
          <w:color w:val="3E3F3E"/>
          <w:sz w:val="33"/>
          <w:szCs w:val="33"/>
          <w:lang w:val="it-IT"/>
        </w:rPr>
        <w:t>ivi</w:t>
      </w:r>
      <w:r w:rsidRPr="00263869">
        <w:rPr>
          <w:rFonts w:ascii="Garamond" w:hAnsi="Garamond"/>
          <w:color w:val="3E3F3E"/>
          <w:sz w:val="33"/>
          <w:szCs w:val="33"/>
          <w:lang w:val="it-IT"/>
        </w:rPr>
        <w:t>, n. 223202, aveva affermato, in senso difforme, che l’acquisizione della prova mediante rogatoria integra sempre un’impossibilità di natura oggettiva, non potendosi pretendere l’osservanza all’estero delle regole processuali italiane).</w:t>
      </w:r>
    </w:p>
    <w:p w14:paraId="1744F6E3" w14:textId="77777777" w:rsidR="00263869" w:rsidRPr="00263869" w:rsidRDefault="00263869" w:rsidP="00263869">
      <w:pPr>
        <w:pStyle w:val="NormaleWeb"/>
        <w:shd w:val="clear" w:color="auto" w:fill="FAF9F6"/>
        <w:spacing w:line="450" w:lineRule="atLeast"/>
        <w:jc w:val="both"/>
        <w:rPr>
          <w:rFonts w:ascii="Garamond" w:hAnsi="Garamond"/>
          <w:color w:val="3E3F3E"/>
          <w:sz w:val="33"/>
          <w:szCs w:val="33"/>
          <w:lang w:val="it-IT"/>
        </w:rPr>
      </w:pPr>
      <w:r w:rsidRPr="00263869">
        <w:rPr>
          <w:rFonts w:ascii="Garamond" w:hAnsi="Garamond"/>
          <w:color w:val="3E3F3E"/>
          <w:sz w:val="33"/>
          <w:szCs w:val="33"/>
          <w:lang w:val="it-IT"/>
        </w:rPr>
        <w:t>La questione si è posta, in particolare, con riferimento all’assenza dell’imputato al compimento dell’atto probatorio, che non è stata ritenuta, però, in contrasto con l’esigenza di tutela del diritto di difesa e, di riflesso, con i principi fondamentali dell’ordinamento giuridico italiano (Cass. pen., sez. VI, 1.12.2010, n. 44488; Cass. pen., sez. V, 7.10.2005, n. 45103; Cass. pen., sez. VI, 13.7.1999, n. 11109).</w:t>
      </w:r>
    </w:p>
    <w:p w14:paraId="4BC03110" w14:textId="77777777" w:rsidR="00263869" w:rsidRPr="00263869" w:rsidRDefault="00263869" w:rsidP="00263869">
      <w:pPr>
        <w:pStyle w:val="Titolo2"/>
        <w:shd w:val="clear" w:color="auto" w:fill="FAF9F6"/>
        <w:spacing w:before="450" w:after="450" w:line="390" w:lineRule="atLeast"/>
        <w:jc w:val="both"/>
        <w:rPr>
          <w:rFonts w:ascii="Montserrat" w:hAnsi="Montserrat"/>
          <w:caps/>
          <w:color w:val="3E3F3E"/>
          <w:sz w:val="32"/>
          <w:szCs w:val="32"/>
          <w:lang w:val="it-IT"/>
        </w:rPr>
      </w:pPr>
      <w:r w:rsidRPr="00263869">
        <w:rPr>
          <w:rStyle w:val="mw-headline"/>
          <w:rFonts w:ascii="Montserrat" w:hAnsi="Montserrat"/>
          <w:caps/>
          <w:color w:val="3E3F3E"/>
          <w:sz w:val="32"/>
          <w:szCs w:val="32"/>
          <w:lang w:val="it-IT"/>
        </w:rPr>
        <w:lastRenderedPageBreak/>
        <w:t>LA CIRCOLAZIONE DELLA PROVA NELLO SPAZIO EUROPEO</w:t>
      </w:r>
    </w:p>
    <w:p w14:paraId="27272169" w14:textId="77777777" w:rsidR="00263869" w:rsidRPr="00263869" w:rsidRDefault="00263869" w:rsidP="00263869">
      <w:pPr>
        <w:pStyle w:val="NormaleWeb"/>
        <w:shd w:val="clear" w:color="auto" w:fill="FAF9F6"/>
        <w:spacing w:line="450" w:lineRule="atLeast"/>
        <w:jc w:val="both"/>
        <w:rPr>
          <w:rFonts w:ascii="Garamond" w:hAnsi="Garamond"/>
          <w:color w:val="3E3F3E"/>
          <w:sz w:val="33"/>
          <w:szCs w:val="33"/>
          <w:lang w:val="it-IT"/>
        </w:rPr>
      </w:pPr>
      <w:r w:rsidRPr="00263869">
        <w:rPr>
          <w:rFonts w:ascii="Garamond" w:hAnsi="Garamond"/>
          <w:color w:val="3E3F3E"/>
          <w:sz w:val="33"/>
          <w:szCs w:val="33"/>
          <w:lang w:val="it-IT"/>
        </w:rPr>
        <w:t>La cooperazione penale in ambito europeo ha subito negli ultimi anni una notevole accelerazione, superando la tradizionale dimensione della mera collaborazione intergovernativa ed evolvendosi negli istituti del mutuo riconoscimento delle decisioni giudiziarie e nella progressiva armonizzazione normativa dei sistemi giuridici interni (sul punto, v. Daraio, G., </w:t>
      </w:r>
      <w:r w:rsidRPr="00263869">
        <w:rPr>
          <w:rFonts w:ascii="Garamond" w:hAnsi="Garamond"/>
          <w:i/>
          <w:iCs/>
          <w:color w:val="3E3F3E"/>
          <w:sz w:val="33"/>
          <w:szCs w:val="33"/>
          <w:lang w:val="it-IT"/>
        </w:rPr>
        <w:t>La circolazione della prova nello spazio giudiziario europeo</w:t>
      </w:r>
      <w:r w:rsidRPr="00263869">
        <w:rPr>
          <w:rFonts w:ascii="Garamond" w:hAnsi="Garamond"/>
          <w:color w:val="3E3F3E"/>
          <w:sz w:val="33"/>
          <w:szCs w:val="33"/>
          <w:lang w:val="it-IT"/>
        </w:rPr>
        <w:t>, cit., 504 s.).</w:t>
      </w:r>
    </w:p>
    <w:p w14:paraId="23397085" w14:textId="77777777" w:rsidR="00263869" w:rsidRPr="00263869" w:rsidRDefault="00263869" w:rsidP="00263869">
      <w:pPr>
        <w:pStyle w:val="NormaleWeb"/>
        <w:shd w:val="clear" w:color="auto" w:fill="FAF9F6"/>
        <w:spacing w:line="450" w:lineRule="atLeast"/>
        <w:jc w:val="both"/>
        <w:rPr>
          <w:rFonts w:ascii="Garamond" w:hAnsi="Garamond"/>
          <w:color w:val="3E3F3E"/>
          <w:sz w:val="33"/>
          <w:szCs w:val="33"/>
          <w:lang w:val="it-IT"/>
        </w:rPr>
      </w:pPr>
      <w:r w:rsidRPr="00263869">
        <w:rPr>
          <w:rFonts w:ascii="Garamond" w:hAnsi="Garamond"/>
          <w:color w:val="3E3F3E"/>
          <w:sz w:val="33"/>
          <w:szCs w:val="33"/>
          <w:lang w:val="it-IT"/>
        </w:rPr>
        <w:t>In quest’ottica, non poteva mancare la previsione di norme specificamente destinate a potenziare la circolazione della prova in ambito europeo, rendendola maggiormente efficace rispetto a quanto possa garantire il tradizionale strumento delle rogatorie.</w:t>
      </w:r>
    </w:p>
    <w:p w14:paraId="6D9E5AB5" w14:textId="77777777" w:rsidR="00263869" w:rsidRPr="00263869" w:rsidRDefault="00263869" w:rsidP="00263869">
      <w:pPr>
        <w:pStyle w:val="NormaleWeb"/>
        <w:shd w:val="clear" w:color="auto" w:fill="FAF9F6"/>
        <w:spacing w:line="450" w:lineRule="atLeast"/>
        <w:jc w:val="both"/>
        <w:rPr>
          <w:rFonts w:ascii="Garamond" w:hAnsi="Garamond"/>
          <w:color w:val="3E3F3E"/>
          <w:sz w:val="33"/>
          <w:szCs w:val="33"/>
          <w:lang w:val="it-IT"/>
        </w:rPr>
      </w:pPr>
      <w:r w:rsidRPr="00263869">
        <w:rPr>
          <w:rFonts w:ascii="Garamond" w:hAnsi="Garamond"/>
          <w:color w:val="3E3F3E"/>
          <w:sz w:val="33"/>
          <w:szCs w:val="33"/>
          <w:lang w:val="it-IT"/>
        </w:rPr>
        <w:t>Il cd. </w:t>
      </w:r>
      <w:r w:rsidRPr="00263869">
        <w:rPr>
          <w:rFonts w:ascii="Garamond" w:hAnsi="Garamond"/>
          <w:i/>
          <w:iCs/>
          <w:color w:val="3E3F3E"/>
          <w:sz w:val="33"/>
          <w:szCs w:val="33"/>
          <w:lang w:val="it-IT"/>
        </w:rPr>
        <w:t>Libro verde sulla ricerca delle prove in materia penale tra Stati membri e sulla garanzia della loro ammissibilità</w:t>
      </w:r>
      <w:r w:rsidRPr="00263869">
        <w:rPr>
          <w:rFonts w:ascii="Garamond" w:hAnsi="Garamond"/>
          <w:color w:val="3E3F3E"/>
          <w:sz w:val="33"/>
          <w:szCs w:val="33"/>
          <w:lang w:val="it-IT"/>
        </w:rPr>
        <w:t> (Atto COM(2009)624, elaborato dalla Commissione europea nel novembre del 2009) chiarisce che l’acquisizione internazionale della prova nell’ambito dell’Unione può avvenire con il sistema delle rogatorie, improntato alla regola del </w:t>
      </w:r>
      <w:r w:rsidRPr="00263869">
        <w:rPr>
          <w:rFonts w:ascii="Garamond" w:hAnsi="Garamond"/>
          <w:i/>
          <w:iCs/>
          <w:color w:val="3E3F3E"/>
          <w:sz w:val="33"/>
          <w:szCs w:val="33"/>
          <w:lang w:val="it-IT"/>
        </w:rPr>
        <w:t>locus regit actum</w:t>
      </w:r>
      <w:r w:rsidRPr="00263869">
        <w:rPr>
          <w:rFonts w:ascii="Garamond" w:hAnsi="Garamond"/>
          <w:color w:val="3E3F3E"/>
          <w:sz w:val="33"/>
          <w:szCs w:val="33"/>
          <w:lang w:val="it-IT"/>
        </w:rPr>
        <w:t>, ma anche attraverso più flessibili strumenti di cooperazione giudiziaria, basati sulla possibilità di eseguire in uno Stato membro un provvedimento adottato dall’autorità di altro Stato membro.</w:t>
      </w:r>
    </w:p>
    <w:p w14:paraId="6F0ABB07" w14:textId="77777777" w:rsidR="00263869" w:rsidRPr="00263869" w:rsidRDefault="00263869" w:rsidP="00263869">
      <w:pPr>
        <w:pStyle w:val="NormaleWeb"/>
        <w:shd w:val="clear" w:color="auto" w:fill="FAF9F6"/>
        <w:spacing w:line="450" w:lineRule="atLeast"/>
        <w:jc w:val="both"/>
        <w:rPr>
          <w:rFonts w:ascii="Garamond" w:hAnsi="Garamond"/>
          <w:color w:val="3E3F3E"/>
          <w:sz w:val="33"/>
          <w:szCs w:val="33"/>
          <w:lang w:val="it-IT"/>
        </w:rPr>
      </w:pPr>
      <w:r w:rsidRPr="00263869">
        <w:rPr>
          <w:rFonts w:ascii="Garamond" w:hAnsi="Garamond"/>
          <w:color w:val="3E3F3E"/>
          <w:sz w:val="33"/>
          <w:szCs w:val="33"/>
          <w:lang w:val="it-IT"/>
        </w:rPr>
        <w:t>Il nuovo modello di circolazione della prova — che si ispira ai medesimi principi posti a fondamento del mandato di arresto (sul punto, v. Della Monica, G., </w:t>
      </w:r>
      <w:r w:rsidRPr="00263869">
        <w:rPr>
          <w:rFonts w:ascii="Garamond" w:hAnsi="Garamond"/>
          <w:i/>
          <w:iCs/>
          <w:color w:val="3E3F3E"/>
          <w:sz w:val="33"/>
          <w:szCs w:val="33"/>
          <w:lang w:val="it-IT"/>
        </w:rPr>
        <w:t>Il Mandato di arresto europeo</w:t>
      </w:r>
      <w:r w:rsidRPr="00263869">
        <w:rPr>
          <w:rFonts w:ascii="Garamond" w:hAnsi="Garamond"/>
          <w:color w:val="3E3F3E"/>
          <w:sz w:val="33"/>
          <w:szCs w:val="33"/>
          <w:lang w:val="it-IT"/>
        </w:rPr>
        <w:t>, Torino, 2012, 3 s.) — è delineato dalla decisione quadro 2008/978/GAI del 18 dicembre 2008, che introduce il cd. MERP (mandato europeo di ricerca delle prove), concepito come decisione giudiziaria emessa dalle autorità di uno Stato membro allo scopo di acquisire, in altro Stato membro, oggetti, documenti e dati di carattere probatorio.</w:t>
      </w:r>
    </w:p>
    <w:p w14:paraId="09B5DD54" w14:textId="77777777" w:rsidR="00263869" w:rsidRPr="00263869" w:rsidRDefault="00263869" w:rsidP="00263869">
      <w:pPr>
        <w:pStyle w:val="NormaleWeb"/>
        <w:shd w:val="clear" w:color="auto" w:fill="FAF9F6"/>
        <w:spacing w:line="450" w:lineRule="atLeast"/>
        <w:jc w:val="both"/>
        <w:rPr>
          <w:rFonts w:ascii="Garamond" w:hAnsi="Garamond"/>
          <w:color w:val="3E3F3E"/>
          <w:sz w:val="33"/>
          <w:szCs w:val="33"/>
          <w:lang w:val="it-IT"/>
        </w:rPr>
      </w:pPr>
      <w:r w:rsidRPr="00263869">
        <w:rPr>
          <w:rFonts w:ascii="Garamond" w:hAnsi="Garamond"/>
          <w:color w:val="3E3F3E"/>
          <w:sz w:val="33"/>
          <w:szCs w:val="33"/>
          <w:lang w:val="it-IT"/>
        </w:rPr>
        <w:lastRenderedPageBreak/>
        <w:t>Le previsioni della decisione quadro — la cui finalità precipua è quella di elidere il filtro politico e di instaurare un rapporto diretto tra le autorità giudiziarie degli Stati membri — sono, dunque, destinate a sostituire le disposizioni convenzionali in materia di assistenza giudiziaria.</w:t>
      </w:r>
    </w:p>
    <w:p w14:paraId="20F894A4" w14:textId="77777777" w:rsidR="00263869" w:rsidRPr="00263869" w:rsidRDefault="00263869" w:rsidP="00263869">
      <w:pPr>
        <w:pStyle w:val="Titolo2"/>
        <w:shd w:val="clear" w:color="auto" w:fill="FAF9F6"/>
        <w:spacing w:before="450" w:after="450" w:line="390" w:lineRule="atLeast"/>
        <w:jc w:val="both"/>
        <w:rPr>
          <w:rFonts w:ascii="Montserrat" w:hAnsi="Montserrat"/>
          <w:caps/>
          <w:color w:val="3E3F3E"/>
          <w:sz w:val="32"/>
          <w:szCs w:val="32"/>
          <w:lang w:val="it-IT"/>
        </w:rPr>
      </w:pPr>
      <w:r w:rsidRPr="00263869">
        <w:rPr>
          <w:rStyle w:val="mw-headline"/>
          <w:rFonts w:ascii="Montserrat" w:hAnsi="Montserrat"/>
          <w:caps/>
          <w:color w:val="3E3F3E"/>
          <w:sz w:val="32"/>
          <w:szCs w:val="32"/>
          <w:lang w:val="it-IT"/>
        </w:rPr>
        <w:t>FONTI NORMATIVE</w:t>
      </w:r>
    </w:p>
    <w:p w14:paraId="7B6B2919" w14:textId="77777777" w:rsidR="00263869" w:rsidRPr="00263869" w:rsidRDefault="00263869" w:rsidP="00263869">
      <w:pPr>
        <w:pStyle w:val="NormaleWeb"/>
        <w:shd w:val="clear" w:color="auto" w:fill="FAF9F6"/>
        <w:spacing w:line="450" w:lineRule="atLeast"/>
        <w:jc w:val="both"/>
        <w:rPr>
          <w:rFonts w:ascii="Garamond" w:hAnsi="Garamond"/>
          <w:color w:val="3E3F3E"/>
          <w:sz w:val="33"/>
          <w:szCs w:val="33"/>
          <w:lang w:val="it-IT"/>
        </w:rPr>
      </w:pPr>
      <w:r w:rsidRPr="00263869">
        <w:rPr>
          <w:rFonts w:ascii="Garamond" w:hAnsi="Garamond"/>
          <w:color w:val="3E3F3E"/>
          <w:sz w:val="33"/>
          <w:szCs w:val="33"/>
          <w:lang w:val="it-IT"/>
        </w:rPr>
        <w:t>Artt. 723-729 c.p.p.; Convenzione europea del 20.4.1959 (assistenza giudiziaria in materia penale); Decisione quadro n. 2008/978/GAI del 18.12.2008.</w:t>
      </w:r>
    </w:p>
    <w:p w14:paraId="591495E6" w14:textId="77777777" w:rsidR="00263869" w:rsidRDefault="00263869" w:rsidP="00263869">
      <w:pPr>
        <w:pStyle w:val="Titolo2"/>
        <w:shd w:val="clear" w:color="auto" w:fill="FAF9F6"/>
        <w:spacing w:before="450" w:after="450" w:line="390" w:lineRule="atLeast"/>
        <w:jc w:val="both"/>
        <w:rPr>
          <w:rFonts w:ascii="Montserrat" w:hAnsi="Montserrat"/>
          <w:caps/>
          <w:color w:val="3E3F3E"/>
          <w:sz w:val="32"/>
          <w:szCs w:val="32"/>
        </w:rPr>
      </w:pPr>
      <w:r>
        <w:rPr>
          <w:rStyle w:val="mw-headline"/>
          <w:rFonts w:ascii="Montserrat" w:hAnsi="Montserrat"/>
          <w:caps/>
          <w:color w:val="3E3F3E"/>
          <w:sz w:val="32"/>
          <w:szCs w:val="32"/>
        </w:rPr>
        <w:t>BIBLIOGRAFIA ESSENZIALE</w:t>
      </w:r>
    </w:p>
    <w:p w14:paraId="05C76F1A" w14:textId="77777777" w:rsidR="00263869" w:rsidRPr="00263869" w:rsidRDefault="00263869" w:rsidP="00263869">
      <w:pPr>
        <w:pStyle w:val="NormaleWeb"/>
        <w:shd w:val="clear" w:color="auto" w:fill="FAF9F6"/>
        <w:spacing w:line="450" w:lineRule="atLeast"/>
        <w:jc w:val="both"/>
        <w:rPr>
          <w:rFonts w:ascii="Garamond" w:hAnsi="Garamond"/>
          <w:color w:val="3E3F3E"/>
          <w:sz w:val="33"/>
          <w:szCs w:val="33"/>
          <w:lang w:val="it-IT"/>
        </w:rPr>
      </w:pPr>
      <w:r w:rsidRPr="00263869">
        <w:rPr>
          <w:rFonts w:ascii="Garamond" w:hAnsi="Garamond"/>
          <w:i/>
          <w:iCs/>
          <w:color w:val="3E3F3E"/>
          <w:sz w:val="33"/>
          <w:szCs w:val="33"/>
          <w:lang w:val="it-IT"/>
        </w:rPr>
        <w:t>Rogatorie penali e cooperazione giudiziaria internazionale</w:t>
      </w:r>
      <w:r w:rsidRPr="00263869">
        <w:rPr>
          <w:rFonts w:ascii="Garamond" w:hAnsi="Garamond"/>
          <w:color w:val="3E3F3E"/>
          <w:sz w:val="33"/>
          <w:szCs w:val="33"/>
          <w:lang w:val="it-IT"/>
        </w:rPr>
        <w:t>, a cura di G. La Greca e M.R. Marchetti, Torino, 2003; Catelani, G., </w:t>
      </w:r>
      <w:r w:rsidRPr="00263869">
        <w:rPr>
          <w:rFonts w:ascii="Garamond" w:hAnsi="Garamond"/>
          <w:i/>
          <w:iCs/>
          <w:color w:val="3E3F3E"/>
          <w:sz w:val="33"/>
          <w:szCs w:val="33"/>
          <w:lang w:val="it-IT"/>
        </w:rPr>
        <w:t>I rapporti internazionali in materia penale</w:t>
      </w:r>
      <w:r w:rsidRPr="00263869">
        <w:rPr>
          <w:rFonts w:ascii="Garamond" w:hAnsi="Garamond"/>
          <w:color w:val="3E3F3E"/>
          <w:sz w:val="33"/>
          <w:szCs w:val="33"/>
          <w:lang w:val="it-IT"/>
        </w:rPr>
        <w:t>, Milano, 1995; Ciampi, A., </w:t>
      </w:r>
      <w:r w:rsidRPr="00263869">
        <w:rPr>
          <w:rFonts w:ascii="Garamond" w:hAnsi="Garamond"/>
          <w:i/>
          <w:iCs/>
          <w:color w:val="3E3F3E"/>
          <w:sz w:val="33"/>
          <w:szCs w:val="33"/>
          <w:lang w:val="it-IT"/>
        </w:rPr>
        <w:t>L’assunzione di prove all’estero in materia penale</w:t>
      </w:r>
      <w:r w:rsidRPr="00263869">
        <w:rPr>
          <w:rFonts w:ascii="Garamond" w:hAnsi="Garamond"/>
          <w:color w:val="3E3F3E"/>
          <w:sz w:val="33"/>
          <w:szCs w:val="33"/>
          <w:lang w:val="it-IT"/>
        </w:rPr>
        <w:t>, Padova, 2003; Daraio, G., </w:t>
      </w:r>
      <w:r w:rsidRPr="00263869">
        <w:rPr>
          <w:rFonts w:ascii="Garamond" w:hAnsi="Garamond"/>
          <w:i/>
          <w:iCs/>
          <w:color w:val="3E3F3E"/>
          <w:sz w:val="33"/>
          <w:szCs w:val="33"/>
          <w:lang w:val="it-IT"/>
        </w:rPr>
        <w:t>Le rogatorie internazionali</w:t>
      </w:r>
      <w:r w:rsidRPr="00263869">
        <w:rPr>
          <w:rFonts w:ascii="Garamond" w:hAnsi="Garamond"/>
          <w:color w:val="3E3F3E"/>
          <w:sz w:val="33"/>
          <w:szCs w:val="33"/>
          <w:lang w:val="it-IT"/>
        </w:rPr>
        <w:t>, in </w:t>
      </w:r>
      <w:r w:rsidRPr="00263869">
        <w:rPr>
          <w:rFonts w:ascii="Garamond" w:hAnsi="Garamond"/>
          <w:i/>
          <w:iCs/>
          <w:color w:val="3E3F3E"/>
          <w:sz w:val="33"/>
          <w:szCs w:val="33"/>
          <w:lang w:val="it-IT"/>
        </w:rPr>
        <w:t>Trattato di procedura penale</w:t>
      </w:r>
      <w:r w:rsidRPr="00263869">
        <w:rPr>
          <w:rFonts w:ascii="Garamond" w:hAnsi="Garamond"/>
          <w:color w:val="3E3F3E"/>
          <w:sz w:val="33"/>
          <w:szCs w:val="33"/>
          <w:lang w:val="it-IT"/>
        </w:rPr>
        <w:t>, a cura di G. Spangher, VI, </w:t>
      </w:r>
      <w:r w:rsidRPr="00263869">
        <w:rPr>
          <w:rFonts w:ascii="Garamond" w:hAnsi="Garamond"/>
          <w:i/>
          <w:iCs/>
          <w:color w:val="3E3F3E"/>
          <w:sz w:val="33"/>
          <w:szCs w:val="33"/>
          <w:lang w:val="it-IT"/>
        </w:rPr>
        <w:t>Esecuzione e rapporti con autorità giurisdizionali straniere</w:t>
      </w:r>
      <w:r w:rsidRPr="00263869">
        <w:rPr>
          <w:rFonts w:ascii="Garamond" w:hAnsi="Garamond"/>
          <w:color w:val="3E3F3E"/>
          <w:sz w:val="33"/>
          <w:szCs w:val="33"/>
          <w:lang w:val="it-IT"/>
        </w:rPr>
        <w:t>, a cura di L. Kalb, Torino, 2009, 617 s.; Daraio, G., </w:t>
      </w:r>
      <w:r w:rsidRPr="00263869">
        <w:rPr>
          <w:rFonts w:ascii="Garamond" w:hAnsi="Garamond"/>
          <w:i/>
          <w:iCs/>
          <w:color w:val="3E3F3E"/>
          <w:sz w:val="33"/>
          <w:szCs w:val="33"/>
          <w:lang w:val="it-IT"/>
        </w:rPr>
        <w:t>La circolazione della prova nello spazio giudiziario europeo</w:t>
      </w:r>
      <w:r w:rsidRPr="00263869">
        <w:rPr>
          <w:rFonts w:ascii="Garamond" w:hAnsi="Garamond"/>
          <w:color w:val="3E3F3E"/>
          <w:sz w:val="33"/>
          <w:szCs w:val="33"/>
          <w:lang w:val="it-IT"/>
        </w:rPr>
        <w:t>, in </w:t>
      </w:r>
      <w:r w:rsidRPr="00263869">
        <w:rPr>
          <w:rFonts w:ascii="Garamond" w:hAnsi="Garamond"/>
          <w:i/>
          <w:iCs/>
          <w:color w:val="3E3F3E"/>
          <w:sz w:val="33"/>
          <w:szCs w:val="33"/>
          <w:lang w:val="it-IT"/>
        </w:rPr>
        <w:t>«Spazio europeo di giustizia» e procedimento penale italiano</w:t>
      </w:r>
      <w:r w:rsidRPr="00263869">
        <w:rPr>
          <w:rFonts w:ascii="Garamond" w:hAnsi="Garamond"/>
          <w:color w:val="3E3F3E"/>
          <w:sz w:val="33"/>
          <w:szCs w:val="33"/>
          <w:lang w:val="it-IT"/>
        </w:rPr>
        <w:t>, a cura di L. Kalb, Torino, 2012, 539; Di Chiara, G., </w:t>
      </w:r>
      <w:r w:rsidRPr="00263869">
        <w:rPr>
          <w:rFonts w:ascii="Garamond" w:hAnsi="Garamond"/>
          <w:i/>
          <w:iCs/>
          <w:color w:val="3E3F3E"/>
          <w:sz w:val="33"/>
          <w:szCs w:val="33"/>
          <w:lang w:val="it-IT"/>
        </w:rPr>
        <w:t>Rapporti giurisdizionali con autorità straniere</w:t>
      </w:r>
      <w:r w:rsidRPr="00263869">
        <w:rPr>
          <w:rFonts w:ascii="Garamond" w:hAnsi="Garamond"/>
          <w:color w:val="3E3F3E"/>
          <w:sz w:val="33"/>
          <w:szCs w:val="33"/>
          <w:lang w:val="it-IT"/>
        </w:rPr>
        <w:t>, in </w:t>
      </w:r>
      <w:r w:rsidRPr="00263869">
        <w:rPr>
          <w:rFonts w:ascii="Garamond" w:hAnsi="Garamond"/>
          <w:i/>
          <w:iCs/>
          <w:color w:val="3E3F3E"/>
          <w:sz w:val="33"/>
          <w:szCs w:val="33"/>
          <w:lang w:val="it-IT"/>
        </w:rPr>
        <w:t>Enc. dir.</w:t>
      </w:r>
      <w:r w:rsidRPr="00263869">
        <w:rPr>
          <w:rFonts w:ascii="Garamond" w:hAnsi="Garamond"/>
          <w:color w:val="3E3F3E"/>
          <w:sz w:val="33"/>
          <w:szCs w:val="33"/>
          <w:lang w:val="it-IT"/>
        </w:rPr>
        <w:t>, Aggiornamento, II, Milano, 1998, 890 s.; Laslocky. P., </w:t>
      </w:r>
      <w:r w:rsidRPr="00263869">
        <w:rPr>
          <w:rFonts w:ascii="Garamond" w:hAnsi="Garamond"/>
          <w:i/>
          <w:iCs/>
          <w:color w:val="3E3F3E"/>
          <w:sz w:val="33"/>
          <w:szCs w:val="33"/>
          <w:lang w:val="it-IT"/>
        </w:rPr>
        <w:t>Rogatoria </w:t>
      </w:r>
      <w:r w:rsidRPr="00263869">
        <w:rPr>
          <w:rFonts w:ascii="Garamond" w:hAnsi="Garamond"/>
          <w:color w:val="3E3F3E"/>
          <w:sz w:val="33"/>
          <w:szCs w:val="33"/>
          <w:lang w:val="it-IT"/>
        </w:rPr>
        <w:t>(</w:t>
      </w:r>
      <w:r w:rsidRPr="00263869">
        <w:rPr>
          <w:rFonts w:ascii="Garamond" w:hAnsi="Garamond"/>
          <w:i/>
          <w:iCs/>
          <w:color w:val="3E3F3E"/>
          <w:sz w:val="33"/>
          <w:szCs w:val="33"/>
          <w:lang w:val="it-IT"/>
        </w:rPr>
        <w:t>dir. proc. pen.</w:t>
      </w:r>
      <w:r w:rsidRPr="00263869">
        <w:rPr>
          <w:rFonts w:ascii="Garamond" w:hAnsi="Garamond"/>
          <w:color w:val="3E3F3E"/>
          <w:sz w:val="33"/>
          <w:szCs w:val="33"/>
          <w:lang w:val="it-IT"/>
        </w:rPr>
        <w:t>), in </w:t>
      </w:r>
      <w:r w:rsidRPr="00263869">
        <w:rPr>
          <w:rFonts w:ascii="Garamond" w:hAnsi="Garamond"/>
          <w:i/>
          <w:iCs/>
          <w:color w:val="3E3F3E"/>
          <w:sz w:val="33"/>
          <w:szCs w:val="33"/>
          <w:lang w:val="it-IT"/>
        </w:rPr>
        <w:t>Enc. dir.</w:t>
      </w:r>
      <w:r w:rsidRPr="00263869">
        <w:rPr>
          <w:rFonts w:ascii="Garamond" w:hAnsi="Garamond"/>
          <w:color w:val="3E3F3E"/>
          <w:sz w:val="33"/>
          <w:szCs w:val="33"/>
          <w:lang w:val="it-IT"/>
        </w:rPr>
        <w:t>, XLI, Milano, 1989, 119 s.; Diddi, A., </w:t>
      </w:r>
      <w:r w:rsidRPr="00263869">
        <w:rPr>
          <w:rFonts w:ascii="Garamond" w:hAnsi="Garamond"/>
          <w:i/>
          <w:iCs/>
          <w:color w:val="3E3F3E"/>
          <w:sz w:val="33"/>
          <w:szCs w:val="33"/>
          <w:lang w:val="it-IT"/>
        </w:rPr>
        <w:t>Il novum della recente disciplina sulle rogatorie internazionali</w:t>
      </w:r>
      <w:r w:rsidRPr="00263869">
        <w:rPr>
          <w:rFonts w:ascii="Garamond" w:hAnsi="Garamond"/>
          <w:color w:val="3E3F3E"/>
          <w:sz w:val="33"/>
          <w:szCs w:val="33"/>
          <w:lang w:val="it-IT"/>
        </w:rPr>
        <w:t>, in </w:t>
      </w:r>
      <w:r w:rsidRPr="00263869">
        <w:rPr>
          <w:rFonts w:ascii="Garamond" w:hAnsi="Garamond"/>
          <w:i/>
          <w:iCs/>
          <w:color w:val="3E3F3E"/>
          <w:sz w:val="33"/>
          <w:szCs w:val="33"/>
          <w:lang w:val="it-IT"/>
        </w:rPr>
        <w:t>Giust. pen</w:t>
      </w:r>
      <w:r w:rsidRPr="00263869">
        <w:rPr>
          <w:rFonts w:ascii="Garamond" w:hAnsi="Garamond"/>
          <w:color w:val="3E3F3E"/>
          <w:sz w:val="33"/>
          <w:szCs w:val="33"/>
          <w:lang w:val="it-IT"/>
        </w:rPr>
        <w:t>., 2002, III, 606; Marchetti, M.R., </w:t>
      </w:r>
      <w:r w:rsidRPr="00263869">
        <w:rPr>
          <w:rFonts w:ascii="Garamond" w:hAnsi="Garamond"/>
          <w:i/>
          <w:iCs/>
          <w:color w:val="3E3F3E"/>
          <w:sz w:val="33"/>
          <w:szCs w:val="33"/>
          <w:lang w:val="it-IT"/>
        </w:rPr>
        <w:t>L’assistenza giudiziaria internazionale</w:t>
      </w:r>
      <w:r w:rsidRPr="00263869">
        <w:rPr>
          <w:rFonts w:ascii="Garamond" w:hAnsi="Garamond"/>
          <w:color w:val="3E3F3E"/>
          <w:sz w:val="33"/>
          <w:szCs w:val="33"/>
          <w:lang w:val="it-IT"/>
        </w:rPr>
        <w:t>, Milano, 2005; Nuzzo, F., </w:t>
      </w:r>
      <w:r w:rsidRPr="00263869">
        <w:rPr>
          <w:rFonts w:ascii="Garamond" w:hAnsi="Garamond"/>
          <w:i/>
          <w:iCs/>
          <w:color w:val="3E3F3E"/>
          <w:sz w:val="33"/>
          <w:szCs w:val="33"/>
          <w:lang w:val="it-IT"/>
        </w:rPr>
        <w:t>In tema di rogatorie rileva la prassi internazionale</w:t>
      </w:r>
      <w:r w:rsidRPr="00263869">
        <w:rPr>
          <w:rFonts w:ascii="Garamond" w:hAnsi="Garamond"/>
          <w:color w:val="3E3F3E"/>
          <w:sz w:val="33"/>
          <w:szCs w:val="33"/>
          <w:lang w:val="it-IT"/>
        </w:rPr>
        <w:t>, in </w:t>
      </w:r>
      <w:r w:rsidRPr="00263869">
        <w:rPr>
          <w:rFonts w:ascii="Garamond" w:hAnsi="Garamond"/>
          <w:i/>
          <w:iCs/>
          <w:color w:val="3E3F3E"/>
          <w:sz w:val="33"/>
          <w:szCs w:val="33"/>
          <w:lang w:val="it-IT"/>
        </w:rPr>
        <w:t>Cass. pen</w:t>
      </w:r>
      <w:r w:rsidRPr="00263869">
        <w:rPr>
          <w:rFonts w:ascii="Garamond" w:hAnsi="Garamond"/>
          <w:color w:val="3E3F3E"/>
          <w:sz w:val="33"/>
          <w:szCs w:val="33"/>
          <w:lang w:val="it-IT"/>
        </w:rPr>
        <w:t>., 2003, 755; Pisani, M., </w:t>
      </w:r>
      <w:r w:rsidRPr="00263869">
        <w:rPr>
          <w:rFonts w:ascii="Garamond" w:hAnsi="Garamond"/>
          <w:i/>
          <w:iCs/>
          <w:color w:val="3E3F3E"/>
          <w:sz w:val="33"/>
          <w:szCs w:val="33"/>
          <w:lang w:val="it-IT"/>
        </w:rPr>
        <w:t>Criminalità organizzata e cooperazione internazionale</w:t>
      </w:r>
      <w:r w:rsidRPr="00263869">
        <w:rPr>
          <w:rFonts w:ascii="Garamond" w:hAnsi="Garamond"/>
          <w:color w:val="3E3F3E"/>
          <w:sz w:val="33"/>
          <w:szCs w:val="33"/>
          <w:lang w:val="it-IT"/>
        </w:rPr>
        <w:t>, in </w:t>
      </w:r>
      <w:r w:rsidRPr="00263869">
        <w:rPr>
          <w:rFonts w:ascii="Garamond" w:hAnsi="Garamond"/>
          <w:i/>
          <w:iCs/>
          <w:color w:val="3E3F3E"/>
          <w:sz w:val="33"/>
          <w:szCs w:val="33"/>
          <w:lang w:val="it-IT"/>
        </w:rPr>
        <w:t>Riv. it. dir. e proc. pen.</w:t>
      </w:r>
      <w:r w:rsidRPr="00263869">
        <w:rPr>
          <w:rFonts w:ascii="Garamond" w:hAnsi="Garamond"/>
          <w:color w:val="3E3F3E"/>
          <w:sz w:val="33"/>
          <w:szCs w:val="33"/>
          <w:lang w:val="it-IT"/>
        </w:rPr>
        <w:t>, 1998, 703 s.; Presutti, A., </w:t>
      </w:r>
      <w:r w:rsidRPr="00263869">
        <w:rPr>
          <w:rFonts w:ascii="Garamond" w:hAnsi="Garamond"/>
          <w:i/>
          <w:iCs/>
          <w:color w:val="3E3F3E"/>
          <w:sz w:val="33"/>
          <w:szCs w:val="33"/>
          <w:lang w:val="it-IT"/>
        </w:rPr>
        <w:t>Legge sulle rogatorie internazionali e inutilizzabilità della prova</w:t>
      </w:r>
      <w:r w:rsidRPr="00263869">
        <w:rPr>
          <w:rFonts w:ascii="Garamond" w:hAnsi="Garamond"/>
          <w:color w:val="3E3F3E"/>
          <w:sz w:val="33"/>
          <w:szCs w:val="33"/>
          <w:lang w:val="it-IT"/>
        </w:rPr>
        <w:t>, </w:t>
      </w:r>
      <w:r w:rsidRPr="00263869">
        <w:rPr>
          <w:rFonts w:ascii="Garamond" w:hAnsi="Garamond"/>
          <w:i/>
          <w:iCs/>
          <w:color w:val="3E3F3E"/>
          <w:sz w:val="33"/>
          <w:szCs w:val="33"/>
          <w:lang w:val="it-IT"/>
        </w:rPr>
        <w:t>Riv. it. dir. e proc. pen.</w:t>
      </w:r>
      <w:r w:rsidRPr="00263869">
        <w:rPr>
          <w:rFonts w:ascii="Garamond" w:hAnsi="Garamond"/>
          <w:color w:val="3E3F3E"/>
          <w:sz w:val="33"/>
          <w:szCs w:val="33"/>
          <w:lang w:val="it-IT"/>
        </w:rPr>
        <w:t>, 2003, 1164; Secchi, Z., </w:t>
      </w:r>
      <w:r w:rsidRPr="00263869">
        <w:rPr>
          <w:rFonts w:ascii="Garamond" w:hAnsi="Garamond"/>
          <w:i/>
          <w:iCs/>
          <w:color w:val="3E3F3E"/>
          <w:sz w:val="33"/>
          <w:szCs w:val="33"/>
          <w:lang w:val="it-IT"/>
        </w:rPr>
        <w:t>Rogatorie con la Svizzera: risposta italiana alle attività transnazionali della criminalità</w:t>
      </w:r>
      <w:r w:rsidRPr="00263869">
        <w:rPr>
          <w:rFonts w:ascii="Garamond" w:hAnsi="Garamond"/>
          <w:color w:val="3E3F3E"/>
          <w:sz w:val="33"/>
          <w:szCs w:val="33"/>
          <w:lang w:val="it-IT"/>
        </w:rPr>
        <w:t>, in </w:t>
      </w:r>
      <w:r w:rsidRPr="00263869">
        <w:rPr>
          <w:rFonts w:ascii="Garamond" w:hAnsi="Garamond"/>
          <w:i/>
          <w:iCs/>
          <w:color w:val="3E3F3E"/>
          <w:sz w:val="33"/>
          <w:szCs w:val="33"/>
          <w:lang w:val="it-IT"/>
        </w:rPr>
        <w:t>Questione giust.</w:t>
      </w:r>
      <w:r w:rsidRPr="00263869">
        <w:rPr>
          <w:rFonts w:ascii="Garamond" w:hAnsi="Garamond"/>
          <w:color w:val="3E3F3E"/>
          <w:sz w:val="33"/>
          <w:szCs w:val="33"/>
          <w:lang w:val="it-IT"/>
        </w:rPr>
        <w:t>, 2002, 90; Selvaggi, E., </w:t>
      </w:r>
      <w:r w:rsidRPr="00263869">
        <w:rPr>
          <w:rFonts w:ascii="Garamond" w:hAnsi="Garamond"/>
          <w:i/>
          <w:iCs/>
          <w:color w:val="3E3F3E"/>
          <w:sz w:val="33"/>
          <w:szCs w:val="33"/>
          <w:lang w:val="it-IT"/>
        </w:rPr>
        <w:t>La nuova legge sulle rogatorie</w:t>
      </w:r>
      <w:r w:rsidRPr="00263869">
        <w:rPr>
          <w:rFonts w:ascii="Garamond" w:hAnsi="Garamond"/>
          <w:color w:val="3E3F3E"/>
          <w:sz w:val="33"/>
          <w:szCs w:val="33"/>
          <w:lang w:val="it-IT"/>
        </w:rPr>
        <w:t>, in </w:t>
      </w:r>
      <w:r w:rsidRPr="00263869">
        <w:rPr>
          <w:rFonts w:ascii="Garamond" w:hAnsi="Garamond"/>
          <w:i/>
          <w:iCs/>
          <w:color w:val="3E3F3E"/>
          <w:sz w:val="33"/>
          <w:szCs w:val="33"/>
          <w:lang w:val="it-IT"/>
        </w:rPr>
        <w:t>Cass. pen</w:t>
      </w:r>
      <w:r w:rsidRPr="00263869">
        <w:rPr>
          <w:rFonts w:ascii="Garamond" w:hAnsi="Garamond"/>
          <w:color w:val="3E3F3E"/>
          <w:sz w:val="33"/>
          <w:szCs w:val="33"/>
          <w:lang w:val="it-IT"/>
        </w:rPr>
        <w:t>., 2001, 3254; Valentini, C., </w:t>
      </w:r>
      <w:r w:rsidRPr="00263869">
        <w:rPr>
          <w:rFonts w:ascii="Garamond" w:hAnsi="Garamond"/>
          <w:i/>
          <w:iCs/>
          <w:color w:val="3E3F3E"/>
          <w:sz w:val="33"/>
          <w:szCs w:val="33"/>
          <w:lang w:val="it-IT"/>
        </w:rPr>
        <w:t xml:space="preserve">L’acquisizione </w:t>
      </w:r>
      <w:r w:rsidRPr="00263869">
        <w:rPr>
          <w:rFonts w:ascii="Garamond" w:hAnsi="Garamond"/>
          <w:i/>
          <w:iCs/>
          <w:color w:val="3E3F3E"/>
          <w:sz w:val="33"/>
          <w:szCs w:val="33"/>
          <w:lang w:val="it-IT"/>
        </w:rPr>
        <w:lastRenderedPageBreak/>
        <w:t>della prova tra limiti territoriali e cooperazione con autorità straniere</w:t>
      </w:r>
      <w:r w:rsidRPr="00263869">
        <w:rPr>
          <w:rFonts w:ascii="Garamond" w:hAnsi="Garamond"/>
          <w:color w:val="3E3F3E"/>
          <w:sz w:val="33"/>
          <w:szCs w:val="33"/>
          <w:lang w:val="it-IT"/>
        </w:rPr>
        <w:t>, Padova, 1998; Valentini, C., </w:t>
      </w:r>
      <w:r w:rsidRPr="00263869">
        <w:rPr>
          <w:rFonts w:ascii="Garamond" w:hAnsi="Garamond"/>
          <w:i/>
          <w:iCs/>
          <w:color w:val="3E3F3E"/>
          <w:sz w:val="33"/>
          <w:szCs w:val="33"/>
          <w:lang w:val="it-IT"/>
        </w:rPr>
        <w:t>Il controllo dell’autorità giudiziaria italiana sugli atti istruttori effettuati in esecuzione di rogatorie internazionali: un’eterna attesa nel «deserto dei tartari»</w:t>
      </w:r>
      <w:r w:rsidRPr="00263869">
        <w:rPr>
          <w:rFonts w:ascii="Garamond" w:hAnsi="Garamond"/>
          <w:color w:val="3E3F3E"/>
          <w:sz w:val="33"/>
          <w:szCs w:val="33"/>
          <w:lang w:val="it-IT"/>
        </w:rPr>
        <w:t>, in </w:t>
      </w:r>
      <w:r w:rsidRPr="00263869">
        <w:rPr>
          <w:rFonts w:ascii="Garamond" w:hAnsi="Garamond"/>
          <w:i/>
          <w:iCs/>
          <w:color w:val="3E3F3E"/>
          <w:sz w:val="33"/>
          <w:szCs w:val="33"/>
          <w:lang w:val="it-IT"/>
        </w:rPr>
        <w:t>Giur. it.</w:t>
      </w:r>
      <w:r w:rsidRPr="00263869">
        <w:rPr>
          <w:rFonts w:ascii="Garamond" w:hAnsi="Garamond"/>
          <w:color w:val="3E3F3E"/>
          <w:sz w:val="33"/>
          <w:szCs w:val="33"/>
          <w:lang w:val="it-IT"/>
        </w:rPr>
        <w:t>, 1995, II, 147.</w:t>
      </w:r>
    </w:p>
    <w:p w14:paraId="4D112C52" w14:textId="77777777" w:rsidR="00263869" w:rsidRPr="00263869" w:rsidRDefault="00263869">
      <w:pPr>
        <w:rPr>
          <w:lang w:val="it-IT"/>
        </w:rPr>
      </w:pPr>
    </w:p>
    <w:sectPr w:rsidR="00263869" w:rsidRPr="0026386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ontserrat">
    <w:altName w:val="Times New Roman"/>
    <w:charset w:val="00"/>
    <w:family w:val="auto"/>
    <w:pitch w:val="variable"/>
    <w:sig w:usb0="00000001" w:usb1="00000003" w:usb2="00000000" w:usb3="00000000" w:csb0="0000019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869"/>
    <w:rsid w:val="00263869"/>
    <w:rsid w:val="00541D37"/>
    <w:rsid w:val="00E2325C"/>
    <w:rsid w:val="00ED69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61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2638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Titolo2">
    <w:name w:val="heading 2"/>
    <w:basedOn w:val="Normale"/>
    <w:next w:val="Normale"/>
    <w:link w:val="Titolo2Carattere"/>
    <w:uiPriority w:val="9"/>
    <w:semiHidden/>
    <w:unhideWhenUsed/>
    <w:qFormat/>
    <w:rsid w:val="0026386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semiHidden/>
    <w:unhideWhenUsed/>
    <w:qFormat/>
    <w:rsid w:val="0026386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63869"/>
    <w:rPr>
      <w:rFonts w:ascii="Times New Roman" w:eastAsia="Times New Roman" w:hAnsi="Times New Roman" w:cs="Times New Roman"/>
      <w:b/>
      <w:bCs/>
      <w:kern w:val="36"/>
      <w:sz w:val="48"/>
      <w:szCs w:val="48"/>
      <w:lang w:eastAsia="nl-NL"/>
    </w:rPr>
  </w:style>
  <w:style w:type="character" w:customStyle="1" w:styleId="Titolo2Carattere">
    <w:name w:val="Titolo 2 Carattere"/>
    <w:basedOn w:val="Carpredefinitoparagrafo"/>
    <w:link w:val="Titolo2"/>
    <w:uiPriority w:val="9"/>
    <w:semiHidden/>
    <w:rsid w:val="00263869"/>
    <w:rPr>
      <w:rFonts w:asciiTheme="majorHAnsi" w:eastAsiaTheme="majorEastAsia" w:hAnsiTheme="majorHAnsi" w:cstheme="majorBidi"/>
      <w:color w:val="2F5496" w:themeColor="accent1" w:themeShade="BF"/>
      <w:sz w:val="26"/>
      <w:szCs w:val="26"/>
    </w:rPr>
  </w:style>
  <w:style w:type="character" w:customStyle="1" w:styleId="Titolo3Carattere">
    <w:name w:val="Titolo 3 Carattere"/>
    <w:basedOn w:val="Carpredefinitoparagrafo"/>
    <w:link w:val="Titolo3"/>
    <w:uiPriority w:val="9"/>
    <w:semiHidden/>
    <w:rsid w:val="00263869"/>
    <w:rPr>
      <w:rFonts w:asciiTheme="majorHAnsi" w:eastAsiaTheme="majorEastAsia" w:hAnsiTheme="majorHAnsi" w:cstheme="majorBidi"/>
      <w:color w:val="1F3763" w:themeColor="accent1" w:themeShade="7F"/>
      <w:sz w:val="24"/>
      <w:szCs w:val="24"/>
    </w:rPr>
  </w:style>
  <w:style w:type="paragraph" w:styleId="NormaleWeb">
    <w:name w:val="Normal (Web)"/>
    <w:basedOn w:val="Normale"/>
    <w:uiPriority w:val="99"/>
    <w:semiHidden/>
    <w:unhideWhenUsed/>
    <w:rsid w:val="0026386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mw-headline">
    <w:name w:val="mw-headline"/>
    <w:basedOn w:val="Carpredefinitoparagrafo"/>
    <w:rsid w:val="002638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2638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Titolo2">
    <w:name w:val="heading 2"/>
    <w:basedOn w:val="Normale"/>
    <w:next w:val="Normale"/>
    <w:link w:val="Titolo2Carattere"/>
    <w:uiPriority w:val="9"/>
    <w:semiHidden/>
    <w:unhideWhenUsed/>
    <w:qFormat/>
    <w:rsid w:val="0026386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semiHidden/>
    <w:unhideWhenUsed/>
    <w:qFormat/>
    <w:rsid w:val="0026386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63869"/>
    <w:rPr>
      <w:rFonts w:ascii="Times New Roman" w:eastAsia="Times New Roman" w:hAnsi="Times New Roman" w:cs="Times New Roman"/>
      <w:b/>
      <w:bCs/>
      <w:kern w:val="36"/>
      <w:sz w:val="48"/>
      <w:szCs w:val="48"/>
      <w:lang w:eastAsia="nl-NL"/>
    </w:rPr>
  </w:style>
  <w:style w:type="character" w:customStyle="1" w:styleId="Titolo2Carattere">
    <w:name w:val="Titolo 2 Carattere"/>
    <w:basedOn w:val="Carpredefinitoparagrafo"/>
    <w:link w:val="Titolo2"/>
    <w:uiPriority w:val="9"/>
    <w:semiHidden/>
    <w:rsid w:val="00263869"/>
    <w:rPr>
      <w:rFonts w:asciiTheme="majorHAnsi" w:eastAsiaTheme="majorEastAsia" w:hAnsiTheme="majorHAnsi" w:cstheme="majorBidi"/>
      <w:color w:val="2F5496" w:themeColor="accent1" w:themeShade="BF"/>
      <w:sz w:val="26"/>
      <w:szCs w:val="26"/>
    </w:rPr>
  </w:style>
  <w:style w:type="character" w:customStyle="1" w:styleId="Titolo3Carattere">
    <w:name w:val="Titolo 3 Carattere"/>
    <w:basedOn w:val="Carpredefinitoparagrafo"/>
    <w:link w:val="Titolo3"/>
    <w:uiPriority w:val="9"/>
    <w:semiHidden/>
    <w:rsid w:val="00263869"/>
    <w:rPr>
      <w:rFonts w:asciiTheme="majorHAnsi" w:eastAsiaTheme="majorEastAsia" w:hAnsiTheme="majorHAnsi" w:cstheme="majorBidi"/>
      <w:color w:val="1F3763" w:themeColor="accent1" w:themeShade="7F"/>
      <w:sz w:val="24"/>
      <w:szCs w:val="24"/>
    </w:rPr>
  </w:style>
  <w:style w:type="paragraph" w:styleId="NormaleWeb">
    <w:name w:val="Normal (Web)"/>
    <w:basedOn w:val="Normale"/>
    <w:uiPriority w:val="99"/>
    <w:semiHidden/>
    <w:unhideWhenUsed/>
    <w:rsid w:val="0026386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mw-headline">
    <w:name w:val="mw-headline"/>
    <w:basedOn w:val="Carpredefinitoparagrafo"/>
    <w:rsid w:val="00263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58122">
      <w:bodyDiv w:val="1"/>
      <w:marLeft w:val="0"/>
      <w:marRight w:val="0"/>
      <w:marTop w:val="0"/>
      <w:marBottom w:val="0"/>
      <w:divBdr>
        <w:top w:val="none" w:sz="0" w:space="0" w:color="auto"/>
        <w:left w:val="none" w:sz="0" w:space="0" w:color="auto"/>
        <w:bottom w:val="none" w:sz="0" w:space="0" w:color="auto"/>
        <w:right w:val="none" w:sz="0" w:space="0" w:color="auto"/>
      </w:divBdr>
    </w:div>
    <w:div w:id="1926763803">
      <w:bodyDiv w:val="1"/>
      <w:marLeft w:val="0"/>
      <w:marRight w:val="0"/>
      <w:marTop w:val="0"/>
      <w:marBottom w:val="0"/>
      <w:divBdr>
        <w:top w:val="none" w:sz="0" w:space="0" w:color="auto"/>
        <w:left w:val="none" w:sz="0" w:space="0" w:color="auto"/>
        <w:bottom w:val="none" w:sz="0" w:space="0" w:color="auto"/>
        <w:right w:val="none" w:sz="0" w:space="0" w:color="auto"/>
      </w:divBdr>
      <w:divsChild>
        <w:div w:id="807939101">
          <w:marLeft w:val="0"/>
          <w:marRight w:val="0"/>
          <w:marTop w:val="0"/>
          <w:marBottom w:val="0"/>
          <w:divBdr>
            <w:top w:val="none" w:sz="0" w:space="0" w:color="auto"/>
            <w:left w:val="none" w:sz="0" w:space="0" w:color="auto"/>
            <w:bottom w:val="single" w:sz="6" w:space="4" w:color="6E6F6E"/>
            <w:right w:val="none" w:sz="0" w:space="0" w:color="auto"/>
          </w:divBdr>
          <w:divsChild>
            <w:div w:id="104857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24</Pages>
  <Words>6839</Words>
  <Characters>38986</Characters>
  <Application>Microsoft Office Word</Application>
  <DocSecurity>0</DocSecurity>
  <Lines>324</Lines>
  <Paragraphs>91</Paragraphs>
  <ScaleCrop>false</ScaleCrop>
  <Company/>
  <LinksUpToDate>false</LinksUpToDate>
  <CharactersWithSpaces>45734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Emanuela</dc:creator>
  <cp:keywords/>
  <dc:description/>
  <cp:lastModifiedBy>Emanuela Pistoia</cp:lastModifiedBy>
  <cp:revision>3</cp:revision>
  <dcterms:created xsi:type="dcterms:W3CDTF">2022-09-27T16:54:00Z</dcterms:created>
  <dcterms:modified xsi:type="dcterms:W3CDTF">2022-10-06T12:08:00Z</dcterms:modified>
</cp:coreProperties>
</file>