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64033" w14:textId="41123050" w:rsidR="00172756" w:rsidRDefault="00172756" w:rsidP="00172756">
      <w:pPr>
        <w:jc w:val="center"/>
      </w:pPr>
      <w:r>
        <w:t>Cds in Media, Arti, Culture</w:t>
      </w:r>
    </w:p>
    <w:p w14:paraId="0E7B41CE" w14:textId="28A26540" w:rsidR="00172756" w:rsidRDefault="00172756" w:rsidP="00172756">
      <w:pPr>
        <w:jc w:val="center"/>
      </w:pPr>
      <w:r>
        <w:t xml:space="preserve">Corso di </w:t>
      </w:r>
      <w:r w:rsidR="00773BAA">
        <w:t>Arte moderna e contemporanea</w:t>
      </w:r>
      <w:r>
        <w:t xml:space="preserve">, </w:t>
      </w:r>
      <w:proofErr w:type="spellStart"/>
      <w:r>
        <w:t>a.a</w:t>
      </w:r>
      <w:proofErr w:type="spellEnd"/>
      <w:r>
        <w:t>. 202</w:t>
      </w:r>
      <w:r w:rsidR="00797B86">
        <w:t>2</w:t>
      </w:r>
      <w:r>
        <w:t>-202</w:t>
      </w:r>
      <w:r w:rsidR="00797B86">
        <w:t>3</w:t>
      </w:r>
    </w:p>
    <w:p w14:paraId="56B45E0A" w14:textId="5FC472F6" w:rsidR="00172756" w:rsidRDefault="00172756" w:rsidP="00172756">
      <w:pPr>
        <w:jc w:val="center"/>
      </w:pPr>
      <w:r>
        <w:t>Prof. Paolo Coen</w:t>
      </w:r>
    </w:p>
    <w:p w14:paraId="45E191D7" w14:textId="77777777" w:rsidR="00172756" w:rsidRDefault="00172756" w:rsidP="00172756">
      <w:pPr>
        <w:jc w:val="center"/>
      </w:pPr>
    </w:p>
    <w:p w14:paraId="2A3BD2FE" w14:textId="4D36AEED" w:rsidR="00773BAA" w:rsidRDefault="00773BAA" w:rsidP="00172756">
      <w:pPr>
        <w:jc w:val="center"/>
      </w:pPr>
      <w:r>
        <w:t>Parigi vs. Roma 1870-1911</w:t>
      </w:r>
    </w:p>
    <w:p w14:paraId="35A8B106" w14:textId="77777777" w:rsidR="00773BAA" w:rsidRDefault="00773BAA"/>
    <w:p w14:paraId="27907DDC" w14:textId="79A4B37A" w:rsidR="001B694E" w:rsidRPr="00172756" w:rsidRDefault="00773BAA">
      <w:pPr>
        <w:rPr>
          <w:i/>
          <w:iCs/>
        </w:rPr>
      </w:pPr>
      <w:r w:rsidRPr="00172756">
        <w:rPr>
          <w:i/>
          <w:iCs/>
        </w:rPr>
        <w:t>Piano delle lezioni</w:t>
      </w:r>
    </w:p>
    <w:p w14:paraId="3E864F60" w14:textId="77777777" w:rsidR="00172756" w:rsidRDefault="00172756"/>
    <w:p w14:paraId="3305BD80" w14:textId="572E6261" w:rsidR="00773BAA" w:rsidRDefault="000C6FC3" w:rsidP="00773BAA">
      <w:pPr>
        <w:pStyle w:val="Paragrafoelenco"/>
        <w:numPr>
          <w:ilvl w:val="0"/>
          <w:numId w:val="1"/>
        </w:numPr>
      </w:pPr>
      <w:r>
        <w:t xml:space="preserve">Jean-Auguste-Dominique </w:t>
      </w:r>
      <w:r w:rsidR="00773BAA">
        <w:t xml:space="preserve">Ingres e l’opzione accademico-classicista, fino ad Alexandre </w:t>
      </w:r>
      <w:proofErr w:type="spellStart"/>
      <w:r w:rsidR="00773BAA">
        <w:t>Cabanel</w:t>
      </w:r>
      <w:proofErr w:type="spellEnd"/>
    </w:p>
    <w:p w14:paraId="0ECD77AA" w14:textId="5F8ABD1B" w:rsidR="00773BAA" w:rsidRDefault="00773BAA" w:rsidP="00773BAA">
      <w:pPr>
        <w:pStyle w:val="Paragrafoelenco"/>
        <w:numPr>
          <w:ilvl w:val="0"/>
          <w:numId w:val="1"/>
        </w:numPr>
      </w:pPr>
      <w:r>
        <w:t>La linea del Realismo: Gustave Courbet</w:t>
      </w:r>
    </w:p>
    <w:p w14:paraId="6885A4AD" w14:textId="2D2D42B8" w:rsidR="00773BAA" w:rsidRDefault="00773BAA" w:rsidP="00773BAA">
      <w:pPr>
        <w:pStyle w:val="Paragrafoelenco"/>
        <w:numPr>
          <w:ilvl w:val="0"/>
          <w:numId w:val="1"/>
        </w:numPr>
      </w:pPr>
      <w:r>
        <w:t>Il realismo nel paesaggio: la scuola di Barbizon</w:t>
      </w:r>
    </w:p>
    <w:p w14:paraId="0A26CC1A" w14:textId="7F7B6EA9" w:rsidR="00773BAA" w:rsidRDefault="00773BAA" w:rsidP="00797B86">
      <w:pPr>
        <w:pStyle w:val="Paragrafoelenco"/>
        <w:numPr>
          <w:ilvl w:val="0"/>
          <w:numId w:val="1"/>
        </w:numPr>
      </w:pPr>
      <w:r>
        <w:t>Il realismo sociale: Honoré Daumier</w:t>
      </w:r>
    </w:p>
    <w:p w14:paraId="36D5A524" w14:textId="52749DEF" w:rsidR="00773BAA" w:rsidRDefault="00773BAA" w:rsidP="00773BAA">
      <w:pPr>
        <w:pStyle w:val="Paragrafoelenco"/>
        <w:numPr>
          <w:ilvl w:val="0"/>
          <w:numId w:val="1"/>
        </w:numPr>
      </w:pPr>
      <w:r>
        <w:t xml:space="preserve">Verso l’Impressionismo: il ruolo di </w:t>
      </w:r>
      <w:proofErr w:type="spellStart"/>
      <w:r>
        <w:t>Édouard</w:t>
      </w:r>
      <w:proofErr w:type="spellEnd"/>
      <w:r>
        <w:t xml:space="preserve"> Manet</w:t>
      </w:r>
    </w:p>
    <w:p w14:paraId="68776EC1" w14:textId="30DF5064" w:rsidR="00773BAA" w:rsidRDefault="00773BAA" w:rsidP="00773BAA">
      <w:pPr>
        <w:pStyle w:val="Paragrafoelenco"/>
        <w:numPr>
          <w:ilvl w:val="0"/>
          <w:numId w:val="1"/>
        </w:numPr>
      </w:pPr>
      <w:r>
        <w:t xml:space="preserve">La mostra del 1874 nello studio di </w:t>
      </w:r>
      <w:proofErr w:type="spellStart"/>
      <w:r>
        <w:t>Nadar</w:t>
      </w:r>
      <w:proofErr w:type="spellEnd"/>
    </w:p>
    <w:p w14:paraId="021BDA68" w14:textId="1942DDA7" w:rsidR="00773BAA" w:rsidRDefault="00773BAA" w:rsidP="00773BAA">
      <w:pPr>
        <w:pStyle w:val="Paragrafoelenco"/>
        <w:numPr>
          <w:ilvl w:val="0"/>
          <w:numId w:val="1"/>
        </w:numPr>
      </w:pPr>
      <w:r>
        <w:t>I temi dell’</w:t>
      </w:r>
      <w:r w:rsidR="005366F4">
        <w:t>I</w:t>
      </w:r>
      <w:r>
        <w:t>mpressionismo</w:t>
      </w:r>
    </w:p>
    <w:p w14:paraId="32F29BA1" w14:textId="159FD84A" w:rsidR="00773BAA" w:rsidRDefault="00773BAA" w:rsidP="00773BAA">
      <w:pPr>
        <w:pStyle w:val="Paragrafoelenco"/>
        <w:numPr>
          <w:ilvl w:val="0"/>
          <w:numId w:val="1"/>
        </w:numPr>
      </w:pPr>
      <w:r>
        <w:t>La tecnica degli Impressionisti</w:t>
      </w:r>
    </w:p>
    <w:p w14:paraId="30394B47" w14:textId="77777777" w:rsidR="00773BAA" w:rsidRDefault="00773BAA" w:rsidP="00773BAA">
      <w:pPr>
        <w:pStyle w:val="Paragrafoelenco"/>
      </w:pPr>
    </w:p>
    <w:p w14:paraId="0DDB9FE9" w14:textId="2F5BAB0A" w:rsidR="00773BAA" w:rsidRDefault="005366F4" w:rsidP="00773BAA">
      <w:pPr>
        <w:pStyle w:val="Paragrafoelenco"/>
        <w:numPr>
          <w:ilvl w:val="0"/>
          <w:numId w:val="1"/>
        </w:numPr>
      </w:pPr>
      <w:r>
        <w:t>Il risorgimento e la questione romana</w:t>
      </w:r>
    </w:p>
    <w:p w14:paraId="7CB383FE" w14:textId="330EE557" w:rsidR="00773BAA" w:rsidRDefault="00773BAA" w:rsidP="00773BAA">
      <w:pPr>
        <w:pStyle w:val="Paragrafoelenco"/>
        <w:numPr>
          <w:ilvl w:val="0"/>
          <w:numId w:val="1"/>
        </w:numPr>
      </w:pPr>
      <w:r>
        <w:t>Roma prima del 1870: il declino delle arti applicate</w:t>
      </w:r>
    </w:p>
    <w:p w14:paraId="3AE0367E" w14:textId="6435DFAA" w:rsidR="00773BAA" w:rsidRDefault="00773BAA" w:rsidP="00773BAA">
      <w:pPr>
        <w:pStyle w:val="Paragrafoelenco"/>
        <w:numPr>
          <w:ilvl w:val="0"/>
          <w:numId w:val="1"/>
        </w:numPr>
      </w:pPr>
      <w:r>
        <w:t>Il principe Baldassarre Odescalchi e il Museo di Arte Industriale a Roma</w:t>
      </w:r>
    </w:p>
    <w:p w14:paraId="209DCF1F" w14:textId="1C9E2641" w:rsidR="00773BAA" w:rsidRDefault="00773BAA" w:rsidP="00797B86">
      <w:pPr>
        <w:pStyle w:val="Paragrafoelenco"/>
        <w:numPr>
          <w:ilvl w:val="0"/>
          <w:numId w:val="1"/>
        </w:numPr>
      </w:pPr>
      <w:r>
        <w:t>Il Vittoriano, da idea a progetto</w:t>
      </w:r>
    </w:p>
    <w:p w14:paraId="42478212" w14:textId="2DEB77A6" w:rsidR="00773BAA" w:rsidRDefault="00773BAA" w:rsidP="00773BAA">
      <w:pPr>
        <w:pStyle w:val="Paragrafoelenco"/>
        <w:numPr>
          <w:ilvl w:val="0"/>
          <w:numId w:val="1"/>
        </w:numPr>
      </w:pPr>
      <w:r>
        <w:t xml:space="preserve">Lo </w:t>
      </w:r>
      <w:r w:rsidR="00797B86">
        <w:t>‘</w:t>
      </w:r>
      <w:r>
        <w:t>strano caso</w:t>
      </w:r>
      <w:r w:rsidR="00797B86">
        <w:t>’</w:t>
      </w:r>
      <w:r>
        <w:t xml:space="preserve"> di Alessandro Nelli</w:t>
      </w:r>
    </w:p>
    <w:p w14:paraId="788A72D3" w14:textId="6E82F1C7" w:rsidR="00773BAA" w:rsidRDefault="00773BAA" w:rsidP="00773BAA">
      <w:pPr>
        <w:pStyle w:val="Paragrafoelenco"/>
        <w:numPr>
          <w:ilvl w:val="0"/>
          <w:numId w:val="1"/>
        </w:numPr>
      </w:pPr>
      <w:r>
        <w:t>La rincorsa del primato: le esportazioni da Roma nel mondo</w:t>
      </w:r>
    </w:p>
    <w:p w14:paraId="34B35F3E" w14:textId="254CAD1E" w:rsidR="00773BAA" w:rsidRDefault="00773BAA" w:rsidP="00773BAA">
      <w:pPr>
        <w:pStyle w:val="Paragrafoelenco"/>
        <w:numPr>
          <w:ilvl w:val="0"/>
          <w:numId w:val="1"/>
        </w:numPr>
      </w:pPr>
      <w:r>
        <w:t>Camillo Boito, la questione dello stile nazionale e la ‘svolta’ nel Vittoriano</w:t>
      </w:r>
    </w:p>
    <w:p w14:paraId="77C305D7" w14:textId="30824259" w:rsidR="00773BAA" w:rsidRDefault="00773BAA" w:rsidP="00773BAA">
      <w:pPr>
        <w:pStyle w:val="Paragrafoelenco"/>
        <w:numPr>
          <w:ilvl w:val="0"/>
          <w:numId w:val="1"/>
        </w:numPr>
      </w:pPr>
      <w:r>
        <w:t>Il nuovo mercante italiano: Giuseppe Sangiorgi</w:t>
      </w:r>
    </w:p>
    <w:p w14:paraId="557E012D" w14:textId="3DAB747E" w:rsidR="00773BAA" w:rsidRDefault="00773BAA" w:rsidP="00773BAA"/>
    <w:p w14:paraId="14E6F058" w14:textId="3D59E9B8" w:rsidR="00773BAA" w:rsidRDefault="00BE01C6" w:rsidP="00773BAA">
      <w:pPr>
        <w:pStyle w:val="Paragrafoelenco"/>
        <w:numPr>
          <w:ilvl w:val="0"/>
          <w:numId w:val="1"/>
        </w:numPr>
      </w:pPr>
      <w:r>
        <w:t xml:space="preserve">L’opzione inglese: </w:t>
      </w:r>
      <w:r w:rsidR="00773BAA">
        <w:t>John Ruskin</w:t>
      </w:r>
      <w:r>
        <w:t xml:space="preserve">, il South Kensington Museum e il movimento </w:t>
      </w:r>
      <w:proofErr w:type="spellStart"/>
      <w:r>
        <w:t>Arts</w:t>
      </w:r>
      <w:proofErr w:type="spellEnd"/>
      <w:r>
        <w:t xml:space="preserve"> and </w:t>
      </w:r>
      <w:proofErr w:type="spellStart"/>
      <w:r>
        <w:t>Crafts</w:t>
      </w:r>
      <w:proofErr w:type="spellEnd"/>
    </w:p>
    <w:p w14:paraId="5804D307" w14:textId="335217E9" w:rsidR="00773BAA" w:rsidRDefault="00BE01C6" w:rsidP="00773BAA">
      <w:pPr>
        <w:pStyle w:val="Paragrafoelenco"/>
        <w:numPr>
          <w:ilvl w:val="0"/>
          <w:numId w:val="1"/>
        </w:numPr>
      </w:pPr>
      <w:r>
        <w:t xml:space="preserve">I nuovi strumenti del </w:t>
      </w:r>
      <w:r w:rsidR="00773BAA">
        <w:t>mercato borghese: le esposizioni universali e i grandi magazzini</w:t>
      </w:r>
    </w:p>
    <w:p w14:paraId="033CF9A2" w14:textId="53653F50" w:rsidR="00773BAA" w:rsidRDefault="00773BAA" w:rsidP="00773BAA">
      <w:pPr>
        <w:pStyle w:val="Paragrafoelenco"/>
        <w:numPr>
          <w:ilvl w:val="0"/>
          <w:numId w:val="1"/>
        </w:numPr>
      </w:pPr>
      <w:r>
        <w:t xml:space="preserve">La lotta sul mercato europeo: Mariano </w:t>
      </w:r>
      <w:proofErr w:type="spellStart"/>
      <w:r>
        <w:t>Fortùny</w:t>
      </w:r>
      <w:proofErr w:type="spellEnd"/>
      <w:r>
        <w:t xml:space="preserve"> tra Roma e Parigi</w:t>
      </w:r>
    </w:p>
    <w:p w14:paraId="184ACCDA" w14:textId="018FFC7D" w:rsidR="00773BAA" w:rsidRDefault="00773BAA" w:rsidP="00797B86">
      <w:pPr>
        <w:pStyle w:val="Paragrafoelenco"/>
        <w:numPr>
          <w:ilvl w:val="0"/>
          <w:numId w:val="1"/>
        </w:numPr>
      </w:pPr>
      <w:r>
        <w:t>Roma e gli Stati Uniti</w:t>
      </w:r>
    </w:p>
    <w:p w14:paraId="5D7F0A26" w14:textId="52D5CED4" w:rsidR="00773BAA" w:rsidRDefault="00BE01C6" w:rsidP="00773BAA">
      <w:pPr>
        <w:pStyle w:val="Paragrafoelenco"/>
        <w:numPr>
          <w:ilvl w:val="0"/>
          <w:numId w:val="1"/>
        </w:numPr>
      </w:pPr>
      <w:r>
        <w:t>Gli impressionisti sfondano in America</w:t>
      </w:r>
    </w:p>
    <w:p w14:paraId="2CA2FDEA" w14:textId="4CBCDCDF" w:rsidR="00773BAA" w:rsidRDefault="00773BAA" w:rsidP="00773BAA">
      <w:pPr>
        <w:pStyle w:val="Paragrafoelenco"/>
        <w:numPr>
          <w:ilvl w:val="0"/>
          <w:numId w:val="1"/>
        </w:numPr>
      </w:pPr>
      <w:r>
        <w:t xml:space="preserve">Parigi post-impressionista: </w:t>
      </w:r>
      <w:r w:rsidR="00BE01C6">
        <w:t xml:space="preserve">da Paul </w:t>
      </w:r>
      <w:r>
        <w:t>Cézanne</w:t>
      </w:r>
      <w:r w:rsidR="00BE01C6">
        <w:t xml:space="preserve"> a Vincent </w:t>
      </w:r>
      <w:r>
        <w:t xml:space="preserve">Van Gogh e </w:t>
      </w:r>
      <w:r w:rsidR="00BE01C6">
        <w:t xml:space="preserve">Paul </w:t>
      </w:r>
      <w:proofErr w:type="spellStart"/>
      <w:r>
        <w:t>Gaugin</w:t>
      </w:r>
      <w:proofErr w:type="spellEnd"/>
    </w:p>
    <w:p w14:paraId="4C6F4835" w14:textId="2C20438E" w:rsidR="00773BAA" w:rsidRDefault="00BE01C6" w:rsidP="00773BAA">
      <w:pPr>
        <w:pStyle w:val="Paragrafoelenco"/>
        <w:numPr>
          <w:ilvl w:val="0"/>
          <w:numId w:val="1"/>
        </w:numPr>
      </w:pPr>
      <w:r>
        <w:t xml:space="preserve">Nuovi orizzonti: </w:t>
      </w:r>
      <w:r w:rsidR="000C6FC3">
        <w:t xml:space="preserve">il cinema, </w:t>
      </w:r>
      <w:r>
        <w:t>l</w:t>
      </w:r>
      <w:r w:rsidR="00773BAA">
        <w:t xml:space="preserve">’architettura </w:t>
      </w:r>
      <w:r>
        <w:t>in</w:t>
      </w:r>
      <w:r w:rsidR="00773BAA">
        <w:t xml:space="preserve"> ferro</w:t>
      </w:r>
      <w:r>
        <w:t xml:space="preserve"> e l’arte africana</w:t>
      </w:r>
    </w:p>
    <w:p w14:paraId="6014F6BF" w14:textId="0CD35138" w:rsidR="00773BAA" w:rsidRDefault="00773BAA" w:rsidP="00773BAA">
      <w:pPr>
        <w:pStyle w:val="Paragrafoelenco"/>
        <w:numPr>
          <w:ilvl w:val="0"/>
          <w:numId w:val="1"/>
        </w:numPr>
      </w:pPr>
      <w:r>
        <w:t>La mostra a Roma del 1911</w:t>
      </w:r>
    </w:p>
    <w:p w14:paraId="217ED988" w14:textId="77777777" w:rsidR="00773BAA" w:rsidRDefault="00773BAA" w:rsidP="00773BAA">
      <w:pPr>
        <w:pStyle w:val="Paragrafoelenco"/>
      </w:pPr>
    </w:p>
    <w:sectPr w:rsidR="00773BA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98268D"/>
    <w:multiLevelType w:val="hybridMultilevel"/>
    <w:tmpl w:val="A0460CD8"/>
    <w:lvl w:ilvl="0" w:tplc="5866D7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797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6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BAA"/>
    <w:rsid w:val="000C6FC3"/>
    <w:rsid w:val="00172756"/>
    <w:rsid w:val="0039274E"/>
    <w:rsid w:val="005366F4"/>
    <w:rsid w:val="00773BAA"/>
    <w:rsid w:val="00782A24"/>
    <w:rsid w:val="00797B86"/>
    <w:rsid w:val="00B56441"/>
    <w:rsid w:val="00BE01C6"/>
    <w:rsid w:val="00BE3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78D3CA4"/>
  <w15:chartTrackingRefBased/>
  <w15:docId w15:val="{7BE857F9-59DB-0742-8A8A-7601EE09A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73B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Coen</dc:creator>
  <cp:keywords/>
  <dc:description/>
  <cp:lastModifiedBy>Paolo Coen</cp:lastModifiedBy>
  <cp:revision>2</cp:revision>
  <dcterms:created xsi:type="dcterms:W3CDTF">2022-10-03T14:45:00Z</dcterms:created>
  <dcterms:modified xsi:type="dcterms:W3CDTF">2022-10-03T14:45:00Z</dcterms:modified>
</cp:coreProperties>
</file>