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EFD" w:rsidRPr="00A74EFD" w:rsidRDefault="00A74EFD" w:rsidP="00A74EFD">
      <w:pPr>
        <w:shd w:val="clear" w:color="auto" w:fill="FFFFFF"/>
        <w:spacing w:after="0" w:line="288" w:lineRule="atLeast"/>
        <w:jc w:val="both"/>
        <w:outlineLvl w:val="0"/>
        <w:rPr>
          <w:rFonts w:ascii="Open Sans" w:eastAsia="Times New Roman" w:hAnsi="Open Sans" w:cs="Open Sans"/>
          <w:b/>
          <w:bCs/>
          <w:color w:val="003399"/>
          <w:spacing w:val="-11"/>
          <w:kern w:val="36"/>
          <w:sz w:val="48"/>
          <w:szCs w:val="48"/>
          <w:lang w:eastAsia="it-IT"/>
        </w:rPr>
      </w:pPr>
      <w:r w:rsidRPr="00A74EFD">
        <w:rPr>
          <w:rFonts w:ascii="Open Sans" w:eastAsia="Times New Roman" w:hAnsi="Open Sans" w:cs="Open Sans"/>
          <w:b/>
          <w:bCs/>
          <w:color w:val="003399"/>
          <w:spacing w:val="-11"/>
          <w:kern w:val="36"/>
          <w:sz w:val="48"/>
          <w:szCs w:val="48"/>
          <w:lang w:eastAsia="it-IT"/>
        </w:rPr>
        <w:t>La direttiva quadro sulla SSL</w:t>
      </w:r>
    </w:p>
    <w:p w:rsidR="00A74EFD" w:rsidRPr="00A74EFD" w:rsidRDefault="00A74EFD" w:rsidP="00A74EFD">
      <w:pPr>
        <w:shd w:val="clear" w:color="auto" w:fill="FFFFFF"/>
        <w:spacing w:before="360" w:after="360" w:line="408" w:lineRule="atLeast"/>
        <w:jc w:val="both"/>
        <w:rPr>
          <w:rFonts w:ascii="Open Sans" w:eastAsia="Times New Roman" w:hAnsi="Open Sans" w:cs="Open Sans"/>
          <w:color w:val="003399"/>
          <w:sz w:val="21"/>
          <w:szCs w:val="21"/>
          <w:lang w:eastAsia="it-IT"/>
        </w:rPr>
      </w:pPr>
      <w:r w:rsidRPr="00A74EFD">
        <w:rPr>
          <w:rFonts w:ascii="Open Sans" w:eastAsia="Times New Roman" w:hAnsi="Open Sans" w:cs="Open Sans"/>
          <w:color w:val="003399"/>
          <w:sz w:val="21"/>
          <w:szCs w:val="21"/>
          <w:lang w:eastAsia="it-IT"/>
        </w:rPr>
        <w:t>La direttiva quadro europea 89/391 CEE sulla sicurezza e la salute dei lavoratori, adottata nel 1989, ha rappresentato una tappa fondamentale nel miglioramento della salute e della sicurezza sul lavoro. Essa garantisce prescrizioni minime in materia di salute e sicurezza in tutta Europa, sebbene gli Stati membri siano autorizzati a mantenere o stabilire misure più severe.</w:t>
      </w:r>
    </w:p>
    <w:p w:rsidR="00A74EFD" w:rsidRPr="00A74EFD" w:rsidRDefault="00A74EFD" w:rsidP="00A74EFD">
      <w:pPr>
        <w:shd w:val="clear" w:color="auto" w:fill="FFFFFF"/>
        <w:spacing w:before="48" w:after="120" w:line="240" w:lineRule="auto"/>
        <w:jc w:val="both"/>
        <w:rPr>
          <w:rFonts w:ascii="Open Sans" w:eastAsia="Times New Roman" w:hAnsi="Open Sans" w:cs="Open Sans"/>
          <w:color w:val="000000"/>
          <w:lang w:eastAsia="it-IT"/>
        </w:rPr>
      </w:pPr>
      <w:hyperlink r:id="rId5" w:history="1">
        <w:r w:rsidRPr="00A74EFD">
          <w:rPr>
            <w:rFonts w:ascii="Open Sans" w:eastAsia="Times New Roman" w:hAnsi="Open Sans" w:cs="Open Sans"/>
            <w:b/>
            <w:bCs/>
            <w:color w:val="003399"/>
            <w:lang w:eastAsia="it-IT"/>
          </w:rPr>
          <w:t>Direttiva 89/391 ("direttiva quadro" sulla SSL)</w:t>
        </w:r>
      </w:hyperlink>
      <w:r w:rsidRPr="00A74EFD">
        <w:rPr>
          <w:rFonts w:ascii="Open Sans" w:eastAsia="Times New Roman" w:hAnsi="Open Sans" w:cs="Open Sans"/>
          <w:color w:val="000000"/>
          <w:lang w:eastAsia="it-IT"/>
        </w:rPr>
        <w:br/>
        <w:t>del 12 giugno 1989 concernente l'attuazione di misure volte a promuovere il miglioramento della sicurezza e della salute dei lavoratori durante il lavoro (in prosieguo: "direttiva quadro").</w:t>
      </w:r>
    </w:p>
    <w:p w:rsidR="00A74EFD" w:rsidRPr="00A74EFD" w:rsidRDefault="00A74EFD" w:rsidP="00A74EFD">
      <w:pPr>
        <w:shd w:val="clear" w:color="auto" w:fill="FFFFFF"/>
        <w:spacing w:before="48" w:after="120" w:line="240" w:lineRule="auto"/>
        <w:jc w:val="both"/>
        <w:rPr>
          <w:rFonts w:ascii="Open Sans" w:eastAsia="Times New Roman" w:hAnsi="Open Sans" w:cs="Open Sans"/>
          <w:color w:val="000000"/>
          <w:lang w:eastAsia="it-IT"/>
        </w:rPr>
      </w:pPr>
      <w:r w:rsidRPr="00A74EFD">
        <w:rPr>
          <w:rFonts w:ascii="Open Sans" w:eastAsia="Times New Roman" w:hAnsi="Open Sans" w:cs="Open Sans"/>
          <w:color w:val="000000"/>
          <w:lang w:eastAsia="it-IT"/>
        </w:rPr>
        <w:t>Nel 1989, alcune disposizioni della direttiva quadro hanno apportato notevoli innovazioni, tra le quali:</w:t>
      </w:r>
    </w:p>
    <w:p w:rsidR="00A74EFD" w:rsidRPr="00A74EFD" w:rsidRDefault="00A74EFD" w:rsidP="00A74EFD">
      <w:pPr>
        <w:numPr>
          <w:ilvl w:val="0"/>
          <w:numId w:val="1"/>
        </w:numPr>
        <w:shd w:val="clear" w:color="auto" w:fill="FFFFFF"/>
        <w:spacing w:before="100" w:beforeAutospacing="1" w:after="100" w:afterAutospacing="1" w:line="240" w:lineRule="auto"/>
        <w:ind w:left="0"/>
        <w:jc w:val="both"/>
        <w:rPr>
          <w:rFonts w:ascii="Open Sans" w:eastAsia="Times New Roman" w:hAnsi="Open Sans" w:cs="Open Sans"/>
          <w:color w:val="000000"/>
          <w:lang w:eastAsia="it-IT"/>
        </w:rPr>
      </w:pPr>
      <w:r w:rsidRPr="00A74EFD">
        <w:rPr>
          <w:rFonts w:ascii="Open Sans" w:eastAsia="Times New Roman" w:hAnsi="Open Sans" w:cs="Open Sans"/>
          <w:color w:val="000000"/>
          <w:lang w:eastAsia="it-IT"/>
        </w:rPr>
        <w:t>l'espressione "ambiente di lavoro" è stata coniata conformemente alla convenzione n°155 dell'Organizzazione Internazionale del Lavoro (OIL) e indica un approccio moderno che tiene conto della sicurezza tecnica, nonché della prevenzione generale delle malattie;</w:t>
      </w:r>
    </w:p>
    <w:p w:rsidR="00A74EFD" w:rsidRPr="00A74EFD" w:rsidRDefault="00A74EFD" w:rsidP="00A74EFD">
      <w:pPr>
        <w:numPr>
          <w:ilvl w:val="0"/>
          <w:numId w:val="1"/>
        </w:numPr>
        <w:shd w:val="clear" w:color="auto" w:fill="FFFFFF"/>
        <w:spacing w:before="100" w:beforeAutospacing="1" w:after="100" w:afterAutospacing="1" w:line="240" w:lineRule="auto"/>
        <w:ind w:left="0"/>
        <w:jc w:val="both"/>
        <w:rPr>
          <w:rFonts w:ascii="Open Sans" w:eastAsia="Times New Roman" w:hAnsi="Open Sans" w:cs="Open Sans"/>
          <w:color w:val="000000"/>
          <w:lang w:eastAsia="it-IT"/>
        </w:rPr>
      </w:pPr>
      <w:r w:rsidRPr="00A74EFD">
        <w:rPr>
          <w:rFonts w:ascii="Open Sans" w:eastAsia="Times New Roman" w:hAnsi="Open Sans" w:cs="Open Sans"/>
          <w:color w:val="000000"/>
          <w:lang w:eastAsia="it-IT"/>
        </w:rPr>
        <w:t>la direttiva mira a stabilire un equo livello di salute e sicurezza a vantaggio di tutti i lavoratori (le uniche eccezioni sono costituite da lavoratori domestici e da lavoratori che operano nel servizio pubblico o che prestano servizio militare);</w:t>
      </w:r>
    </w:p>
    <w:p w:rsidR="00A74EFD" w:rsidRPr="00A74EFD" w:rsidRDefault="00A74EFD" w:rsidP="00A74EFD">
      <w:pPr>
        <w:numPr>
          <w:ilvl w:val="0"/>
          <w:numId w:val="1"/>
        </w:numPr>
        <w:shd w:val="clear" w:color="auto" w:fill="FFFFFF"/>
        <w:spacing w:before="100" w:beforeAutospacing="1" w:after="100" w:afterAutospacing="1" w:line="240" w:lineRule="auto"/>
        <w:ind w:left="0"/>
        <w:jc w:val="both"/>
        <w:rPr>
          <w:rFonts w:ascii="Open Sans" w:eastAsia="Times New Roman" w:hAnsi="Open Sans" w:cs="Open Sans"/>
          <w:color w:val="000000"/>
          <w:lang w:eastAsia="it-IT"/>
        </w:rPr>
      </w:pPr>
      <w:r w:rsidRPr="00A74EFD">
        <w:rPr>
          <w:rFonts w:ascii="Open Sans" w:eastAsia="Times New Roman" w:hAnsi="Open Sans" w:cs="Open Sans"/>
          <w:color w:val="000000"/>
          <w:lang w:eastAsia="it-IT"/>
        </w:rPr>
        <w:t>la direttiva obbliga i datori di lavoro ad adottare adeguate misure preventive per rendere il luogo di lavoro più sano e sicuro;</w:t>
      </w:r>
    </w:p>
    <w:p w:rsidR="00A74EFD" w:rsidRPr="00A74EFD" w:rsidRDefault="00A74EFD" w:rsidP="00A74EFD">
      <w:pPr>
        <w:numPr>
          <w:ilvl w:val="0"/>
          <w:numId w:val="1"/>
        </w:numPr>
        <w:shd w:val="clear" w:color="auto" w:fill="FFFFFF"/>
        <w:spacing w:before="100" w:beforeAutospacing="1" w:after="100" w:afterAutospacing="1" w:line="240" w:lineRule="auto"/>
        <w:ind w:left="0"/>
        <w:jc w:val="both"/>
        <w:rPr>
          <w:rFonts w:ascii="Open Sans" w:eastAsia="Times New Roman" w:hAnsi="Open Sans" w:cs="Open Sans"/>
          <w:color w:val="000000"/>
          <w:lang w:eastAsia="it-IT"/>
        </w:rPr>
      </w:pPr>
      <w:r w:rsidRPr="00A74EFD">
        <w:rPr>
          <w:rFonts w:ascii="Open Sans" w:eastAsia="Times New Roman" w:hAnsi="Open Sans" w:cs="Open Sans"/>
          <w:color w:val="000000"/>
          <w:lang w:eastAsia="it-IT"/>
        </w:rPr>
        <w:t>la direttiva introduce quale elemento chiave il principio di valutazione dei rischi specificandone gli elementi principali (ad esempio, individuazione dei rischi, partecipazione dei lavoratori, introduzione di misure adeguate aventi come priorità l'eliminazione dei rischi alla fonte, documentazione e rivalutazione periodica dei rischi sul luogo di lavoro);</w:t>
      </w:r>
    </w:p>
    <w:p w:rsidR="00A74EFD" w:rsidRPr="00A74EFD" w:rsidRDefault="00A74EFD" w:rsidP="00A74EFD">
      <w:pPr>
        <w:numPr>
          <w:ilvl w:val="0"/>
          <w:numId w:val="1"/>
        </w:numPr>
        <w:shd w:val="clear" w:color="auto" w:fill="FFFFFF"/>
        <w:spacing w:before="100" w:beforeAutospacing="1" w:after="100" w:afterAutospacing="1" w:line="240" w:lineRule="auto"/>
        <w:ind w:left="0"/>
        <w:jc w:val="both"/>
        <w:rPr>
          <w:rFonts w:ascii="Open Sans" w:eastAsia="Times New Roman" w:hAnsi="Open Sans" w:cs="Open Sans"/>
          <w:color w:val="000000"/>
          <w:lang w:eastAsia="it-IT"/>
        </w:rPr>
      </w:pPr>
      <w:r w:rsidRPr="00A74EFD">
        <w:rPr>
          <w:rFonts w:ascii="Open Sans" w:eastAsia="Times New Roman" w:hAnsi="Open Sans" w:cs="Open Sans"/>
          <w:color w:val="000000"/>
          <w:lang w:eastAsia="it-IT"/>
        </w:rPr>
        <w:t>il nuovo obbligo di mettere a punto misure preventive sottolinea implicitamente l'importanza di nuove forme di gestione della salute della sicurezza come parte dei processi di gestione generale.</w:t>
      </w:r>
    </w:p>
    <w:p w:rsidR="00A74EFD" w:rsidRPr="00A74EFD" w:rsidRDefault="00A74EFD" w:rsidP="00A74EFD">
      <w:pPr>
        <w:shd w:val="clear" w:color="auto" w:fill="FFFFFF"/>
        <w:spacing w:before="48" w:after="120" w:line="240" w:lineRule="auto"/>
        <w:jc w:val="both"/>
        <w:rPr>
          <w:rFonts w:ascii="Open Sans" w:eastAsia="Times New Roman" w:hAnsi="Open Sans" w:cs="Open Sans"/>
          <w:color w:val="000000"/>
          <w:lang w:eastAsia="it-IT"/>
        </w:rPr>
      </w:pPr>
      <w:r w:rsidRPr="00A74EFD">
        <w:rPr>
          <w:rFonts w:ascii="Open Sans" w:eastAsia="Times New Roman" w:hAnsi="Open Sans" w:cs="Open Sans"/>
          <w:color w:val="000000"/>
          <w:lang w:eastAsia="it-IT"/>
        </w:rPr>
        <w:t>Entro la fine del 1992 la direttiva quadro doveva essere recepita dalla legislazione nazionale. Le ripercussioni della recezione nei sistemi giuridici nazionali variano a seconda degli Stati membri. In alcuni Stati membri la direttiva quadro ha avuto notevoli conseguenze a livello giuridico, a causa dell'inadeguatezza della legislazione nazionale, mentre in altri non è stata avvertita la necessità di introdurre grandi adeguamenti.</w:t>
      </w:r>
    </w:p>
    <w:p w:rsidR="00A74EFD" w:rsidRPr="00A74EFD" w:rsidRDefault="00A74EFD" w:rsidP="00A74EFD">
      <w:pPr>
        <w:shd w:val="clear" w:color="auto" w:fill="FFFFFF"/>
        <w:spacing w:before="48" w:after="120" w:line="240" w:lineRule="auto"/>
        <w:jc w:val="both"/>
        <w:rPr>
          <w:rFonts w:ascii="Open Sans" w:eastAsia="Times New Roman" w:hAnsi="Open Sans" w:cs="Open Sans"/>
          <w:color w:val="000000"/>
          <w:lang w:eastAsia="it-IT"/>
        </w:rPr>
      </w:pPr>
      <w:r w:rsidRPr="00A74EFD">
        <w:rPr>
          <w:rFonts w:ascii="Open Sans" w:eastAsia="Times New Roman" w:hAnsi="Open Sans" w:cs="Open Sans"/>
          <w:color w:val="000000"/>
          <w:lang w:eastAsia="it-IT"/>
        </w:rPr>
        <w:t>Nel 2004 la Commissione europea ha pubblicato una </w:t>
      </w:r>
      <w:hyperlink r:id="rId6" w:tgtFrame="_blank" w:history="1">
        <w:r w:rsidRPr="00A74EFD">
          <w:rPr>
            <w:rFonts w:ascii="Open Sans" w:eastAsia="Times New Roman" w:hAnsi="Open Sans" w:cs="Open Sans"/>
            <w:color w:val="003399"/>
            <w:lang w:eastAsia="it-IT"/>
          </w:rPr>
          <w:t>comunicazione, COM(2004) 62 </w:t>
        </w:r>
      </w:hyperlink>
      <w:r w:rsidRPr="00A74EFD">
        <w:rPr>
          <w:rFonts w:ascii="Open Sans" w:eastAsia="Times New Roman" w:hAnsi="Open Sans" w:cs="Open Sans"/>
          <w:color w:val="000000"/>
          <w:lang w:eastAsia="it-IT"/>
        </w:rPr>
        <w:t>, sull'attuazione pratica delle disposizioni delle direttive concernenti la salute e la sicurezza sul lavoro, vale a dire le direttive: 89/391 CEE (direttiva quadro), 89/654 CEE (luoghi di lavoro), 89/655 CEE (attrezzature di lavoro), 89/656 CEE (attrezzature di protezione individuale), 90/269 CEE (movimentazione manuale di carichi) e 90/270 CEE (attrezzature munite di videoterminale). Tale comunicazione metteva in luce come la legislazione europea avesse influito positivamente sulle norme nazionali in materia di sicurezza e salute sul lavoro, un'influenza che si rifletteva tanto nella legislazione attuativa nazionale quanto nell'applicazione pratica nelle industrie e nelle istituzioni del settore pubblico.</w:t>
      </w:r>
    </w:p>
    <w:p w:rsidR="00A74EFD" w:rsidRPr="00A74EFD" w:rsidRDefault="00A74EFD" w:rsidP="00A74EFD">
      <w:pPr>
        <w:shd w:val="clear" w:color="auto" w:fill="FFFFFF"/>
        <w:spacing w:before="48" w:after="120" w:line="240" w:lineRule="auto"/>
        <w:rPr>
          <w:rFonts w:ascii="Open Sans" w:eastAsia="Times New Roman" w:hAnsi="Open Sans" w:cs="Open Sans"/>
          <w:color w:val="000000"/>
          <w:lang w:eastAsia="it-IT"/>
        </w:rPr>
      </w:pPr>
      <w:r w:rsidRPr="00A74EFD">
        <w:rPr>
          <w:rFonts w:ascii="Open Sans" w:eastAsia="Times New Roman" w:hAnsi="Open Sans" w:cs="Open Sans"/>
          <w:color w:val="000000"/>
          <w:lang w:eastAsia="it-IT"/>
        </w:rPr>
        <w:lastRenderedPageBreak/>
        <w:t>In termini generali, la relazione giungeva alla conclusione che la legislazione dell'UE aveva contribuito a infondere una cultura della prevenzione in tutto il territorio dell'Unione europea, nonché a razionalizzare e semplificare i sistemi legislativi nazionali. Nel contempo, tuttavia, la relazione evidenziava varie pecche nell'applicazione della legislazione, che ne determinavano il rallentamento nel pieno raggiungimento del suo potenziale, rilevando anche casi in cui erano state avviate procedure di infrazione.</w:t>
      </w:r>
    </w:p>
    <w:p w:rsidR="00E86E98" w:rsidRDefault="00E86E98"/>
    <w:sectPr w:rsidR="00E86E98" w:rsidSect="003C02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1475D"/>
    <w:multiLevelType w:val="multilevel"/>
    <w:tmpl w:val="9510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74EFD"/>
    <w:rsid w:val="003C0278"/>
    <w:rsid w:val="008571B3"/>
    <w:rsid w:val="00A13CC7"/>
    <w:rsid w:val="00A74EFD"/>
    <w:rsid w:val="00E86E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0278"/>
  </w:style>
  <w:style w:type="paragraph" w:styleId="Titolo1">
    <w:name w:val="heading 1"/>
    <w:basedOn w:val="Normale"/>
    <w:link w:val="Titolo1Carattere"/>
    <w:uiPriority w:val="9"/>
    <w:qFormat/>
    <w:rsid w:val="00A74E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4EFD"/>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A74E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74EFD"/>
    <w:rPr>
      <w:color w:val="0000FF"/>
      <w:u w:val="single"/>
    </w:rPr>
  </w:style>
  <w:style w:type="character" w:styleId="Enfasigrassetto">
    <w:name w:val="Strong"/>
    <w:basedOn w:val="Carpredefinitoparagrafo"/>
    <w:uiPriority w:val="22"/>
    <w:qFormat/>
    <w:rsid w:val="00A74EFD"/>
    <w:rPr>
      <w:b/>
      <w:bCs/>
    </w:rPr>
  </w:style>
  <w:style w:type="character" w:customStyle="1" w:styleId="oshatargetexternallink">
    <w:name w:val="osha_target_external_link"/>
    <w:basedOn w:val="Carpredefinitoparagrafo"/>
    <w:rsid w:val="00A74EFD"/>
  </w:style>
</w:styles>
</file>

<file path=word/webSettings.xml><?xml version="1.0" encoding="utf-8"?>
<w:webSettings xmlns:r="http://schemas.openxmlformats.org/officeDocument/2006/relationships" xmlns:w="http://schemas.openxmlformats.org/wordprocessingml/2006/main">
  <w:divs>
    <w:div w:id="88085115">
      <w:bodyDiv w:val="1"/>
      <w:marLeft w:val="0"/>
      <w:marRight w:val="0"/>
      <w:marTop w:val="0"/>
      <w:marBottom w:val="0"/>
      <w:divBdr>
        <w:top w:val="none" w:sz="0" w:space="0" w:color="auto"/>
        <w:left w:val="none" w:sz="0" w:space="0" w:color="auto"/>
        <w:bottom w:val="none" w:sz="0" w:space="0" w:color="auto"/>
        <w:right w:val="none" w:sz="0" w:space="0" w:color="auto"/>
      </w:divBdr>
      <w:divsChild>
        <w:div w:id="1865750508">
          <w:marLeft w:val="0"/>
          <w:marRight w:val="0"/>
          <w:marTop w:val="0"/>
          <w:marBottom w:val="0"/>
          <w:divBdr>
            <w:top w:val="none" w:sz="0" w:space="0" w:color="auto"/>
            <w:left w:val="none" w:sz="0" w:space="0" w:color="auto"/>
            <w:bottom w:val="none" w:sz="0" w:space="0" w:color="auto"/>
            <w:right w:val="none" w:sz="0" w:space="0" w:color="auto"/>
          </w:divBdr>
          <w:divsChild>
            <w:div w:id="1123763858">
              <w:marLeft w:val="0"/>
              <w:marRight w:val="0"/>
              <w:marTop w:val="0"/>
              <w:marBottom w:val="0"/>
              <w:divBdr>
                <w:top w:val="none" w:sz="0" w:space="0" w:color="auto"/>
                <w:left w:val="none" w:sz="0" w:space="0" w:color="auto"/>
                <w:bottom w:val="none" w:sz="0" w:space="0" w:color="auto"/>
                <w:right w:val="none" w:sz="0" w:space="0" w:color="auto"/>
              </w:divBdr>
              <w:divsChild>
                <w:div w:id="20328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6543">
          <w:marLeft w:val="0"/>
          <w:marRight w:val="0"/>
          <w:marTop w:val="0"/>
          <w:marBottom w:val="0"/>
          <w:divBdr>
            <w:top w:val="none" w:sz="0" w:space="0" w:color="auto"/>
            <w:left w:val="none" w:sz="0" w:space="0" w:color="auto"/>
            <w:bottom w:val="none" w:sz="0" w:space="0" w:color="auto"/>
            <w:right w:val="none" w:sz="0" w:space="0" w:color="auto"/>
          </w:divBdr>
          <w:divsChild>
            <w:div w:id="1526865870">
              <w:marLeft w:val="0"/>
              <w:marRight w:val="0"/>
              <w:marTop w:val="0"/>
              <w:marBottom w:val="0"/>
              <w:divBdr>
                <w:top w:val="none" w:sz="0" w:space="0" w:color="auto"/>
                <w:left w:val="none" w:sz="0" w:space="0" w:color="auto"/>
                <w:bottom w:val="none" w:sz="0" w:space="0" w:color="auto"/>
                <w:right w:val="none" w:sz="0" w:space="0" w:color="auto"/>
              </w:divBdr>
              <w:divsChild>
                <w:div w:id="12523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29351">
          <w:marLeft w:val="0"/>
          <w:marRight w:val="0"/>
          <w:marTop w:val="0"/>
          <w:marBottom w:val="0"/>
          <w:divBdr>
            <w:top w:val="none" w:sz="0" w:space="0" w:color="auto"/>
            <w:left w:val="none" w:sz="0" w:space="0" w:color="auto"/>
            <w:bottom w:val="none" w:sz="0" w:space="0" w:color="auto"/>
            <w:right w:val="none" w:sz="0" w:space="0" w:color="auto"/>
          </w:divBdr>
          <w:divsChild>
            <w:div w:id="1339846332">
              <w:marLeft w:val="0"/>
              <w:marRight w:val="0"/>
              <w:marTop w:val="0"/>
              <w:marBottom w:val="0"/>
              <w:divBdr>
                <w:top w:val="none" w:sz="0" w:space="0" w:color="auto"/>
                <w:left w:val="none" w:sz="0" w:space="0" w:color="auto"/>
                <w:bottom w:val="none" w:sz="0" w:space="0" w:color="auto"/>
                <w:right w:val="none" w:sz="0" w:space="0" w:color="auto"/>
              </w:divBdr>
              <w:divsChild>
                <w:div w:id="6406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xUriServ/LexUriServ.do?uri=CELEX:52004DC0062:EN:NOT" TargetMode="External"/><Relationship Id="rId5" Type="http://schemas.openxmlformats.org/officeDocument/2006/relationships/hyperlink" Target="https://osha.europa.eu/it/legislation/directives/the-osh-framework-directive/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Bellocchi</dc:creator>
  <cp:lastModifiedBy>Paola Bellocchi</cp:lastModifiedBy>
  <cp:revision>1</cp:revision>
  <dcterms:created xsi:type="dcterms:W3CDTF">2021-05-29T07:17:00Z</dcterms:created>
  <dcterms:modified xsi:type="dcterms:W3CDTF">2021-05-29T07:17:00Z</dcterms:modified>
</cp:coreProperties>
</file>