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4E86" w14:textId="19DCBB14" w:rsidR="00E30C58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Corso </w:t>
      </w:r>
    </w:p>
    <w:p w14:paraId="5D1AD4DB" w14:textId="4898680E" w:rsidR="004719C4" w:rsidRDefault="00E30C58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Cooperazione penale n</w:t>
      </w:r>
      <w:r w:rsidR="004719C4">
        <w:rPr>
          <w:sz w:val="32"/>
          <w:szCs w:val="32"/>
        </w:rPr>
        <w:t>ell’Unione europea</w:t>
      </w:r>
    </w:p>
    <w:p w14:paraId="6964C38D" w14:textId="750B1DF6" w:rsidR="004719C4" w:rsidRPr="00C30F85" w:rsidRDefault="00AC67FA" w:rsidP="004719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</w:t>
      </w:r>
      <w:r w:rsidR="00A41AD7">
        <w:rPr>
          <w:sz w:val="28"/>
          <w:szCs w:val="28"/>
        </w:rPr>
        <w:t>2</w:t>
      </w:r>
      <w:r w:rsidR="003A488B">
        <w:rPr>
          <w:sz w:val="28"/>
          <w:szCs w:val="28"/>
        </w:rPr>
        <w:t>2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3A488B">
        <w:rPr>
          <w:sz w:val="28"/>
          <w:szCs w:val="28"/>
        </w:rPr>
        <w:t>3</w:t>
      </w:r>
      <w:r w:rsidR="004719C4">
        <w:rPr>
          <w:sz w:val="28"/>
          <w:szCs w:val="28"/>
        </w:rPr>
        <w:t xml:space="preserve"> – 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004A3326" w14:textId="5B48C5EA" w:rsidR="007460C2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3A488B">
        <w:rPr>
          <w:sz w:val="28"/>
          <w:szCs w:val="28"/>
        </w:rPr>
        <w:t>MER-GIOV-VEN</w:t>
      </w:r>
      <w:r w:rsidR="007460C2">
        <w:rPr>
          <w:sz w:val="28"/>
          <w:szCs w:val="28"/>
        </w:rPr>
        <w:t xml:space="preserve"> ore 1</w:t>
      </w:r>
      <w:r w:rsidR="00E30C58">
        <w:rPr>
          <w:sz w:val="28"/>
          <w:szCs w:val="28"/>
        </w:rPr>
        <w:t>4</w:t>
      </w:r>
      <w:r w:rsidR="007460C2">
        <w:rPr>
          <w:sz w:val="28"/>
          <w:szCs w:val="28"/>
        </w:rPr>
        <w:t>/1</w:t>
      </w:r>
      <w:r w:rsidR="00E30C58">
        <w:rPr>
          <w:sz w:val="28"/>
          <w:szCs w:val="28"/>
        </w:rPr>
        <w:t>6</w:t>
      </w:r>
      <w:r w:rsidR="007460C2">
        <w:rPr>
          <w:sz w:val="28"/>
          <w:szCs w:val="28"/>
        </w:rPr>
        <w:t xml:space="preserve"> 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</w:tblGrid>
      <w:tr w:rsidR="00AC67FA" w:rsidRPr="00B71D13" w14:paraId="438B77C3" w14:textId="77777777" w:rsidTr="00AC67FA"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AC67FA"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68E63DFF" w:rsidR="00AC67FA" w:rsidRPr="00594107" w:rsidRDefault="007460C2" w:rsidP="00256650">
            <w:pPr>
              <w:jc w:val="both"/>
            </w:pPr>
            <w:r>
              <w:t>5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06DB753A" w14:textId="7DE35CCC" w:rsidR="003025F7" w:rsidRDefault="00E30C58" w:rsidP="002E7991">
            <w:pPr>
              <w:jc w:val="both"/>
            </w:pPr>
            <w:r>
              <w:t>Ragion d’essere, obiettivi e ostacoli della cooperazione giudiziaria penale tra Stati</w:t>
            </w:r>
            <w:r w:rsidR="003D30FB">
              <w:t xml:space="preserve">: </w:t>
            </w:r>
            <w:r w:rsidR="00691C7F">
              <w:t>criteri di giurisdizione penale, legame indissolubile tra individuazione della giurisdizione e della legge penale. Ne bis in idem internazionale. Cooperazione giudiziaria penale nel Consiglio d’Europa.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77777777" w:rsidR="00AC67FA" w:rsidRPr="00CC7AAA" w:rsidRDefault="00AC67FA" w:rsidP="00AF0C11">
            <w:pPr>
              <w:jc w:val="both"/>
            </w:pPr>
          </w:p>
        </w:tc>
      </w:tr>
      <w:tr w:rsidR="00AC67FA" w:rsidRPr="00B71D13" w14:paraId="7848E230" w14:textId="77777777" w:rsidTr="00AC67FA"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6DCEF87D" w:rsidR="00AC67FA" w:rsidRPr="00594107" w:rsidRDefault="007460C2" w:rsidP="00A41AD7">
            <w:pPr>
              <w:jc w:val="both"/>
            </w:pPr>
            <w:r>
              <w:t>6</w:t>
            </w:r>
            <w:r w:rsidR="00AC67FA">
              <w:t xml:space="preserve"> </w:t>
            </w:r>
            <w:r w:rsidR="00A41AD7">
              <w:t>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2DE6AF36" w14:textId="79FE18AE" w:rsidR="005E4EF4" w:rsidRPr="003A488B" w:rsidRDefault="006F04AD" w:rsidP="00256650">
            <w:pPr>
              <w:jc w:val="both"/>
            </w:pPr>
            <w:r>
              <w:t>Introduzione</w:t>
            </w:r>
          </w:p>
        </w:tc>
        <w:tc>
          <w:tcPr>
            <w:tcW w:w="5575" w:type="dxa"/>
            <w:shd w:val="clear" w:color="auto" w:fill="auto"/>
          </w:tcPr>
          <w:p w14:paraId="32B28B28" w14:textId="29D908DD" w:rsidR="00E30C58" w:rsidRDefault="00E30C58" w:rsidP="00E30C58">
            <w:pPr>
              <w:jc w:val="both"/>
            </w:pPr>
            <w:r>
              <w:t>Ragion d’essere, obiettivi e ostacoli della cooperazione giudiziaria penale tra Stati (segue): estradizione e rogatorie</w:t>
            </w:r>
            <w:r w:rsidR="00691C7F">
              <w:t>.</w:t>
            </w:r>
          </w:p>
          <w:p w14:paraId="3DA0E9A8" w14:textId="491C2B8C" w:rsidR="00AF0C11" w:rsidRPr="003A488B" w:rsidRDefault="00AF0C11" w:rsidP="00AF0C11">
            <w:pPr>
              <w:jc w:val="both"/>
            </w:pPr>
          </w:p>
          <w:p w14:paraId="73AABE06" w14:textId="6D5181DA" w:rsidR="00AC67FA" w:rsidRPr="003A488B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AC67FA"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33FB2E57" w:rsidR="00AC67FA" w:rsidRPr="00594107" w:rsidRDefault="007460C2" w:rsidP="00CD0C28">
            <w:pPr>
              <w:jc w:val="both"/>
            </w:pPr>
            <w:r>
              <w:t>7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635C0F5" w14:textId="07A6F86A" w:rsidR="00691C7F" w:rsidRDefault="00691C7F" w:rsidP="001A296C">
            <w:pPr>
              <w:jc w:val="both"/>
            </w:pPr>
            <w:r>
              <w:t>Ragioni</w:t>
            </w:r>
            <w:r w:rsidR="00422224">
              <w:t xml:space="preserve"> particolari</w:t>
            </w:r>
            <w:r>
              <w:t xml:space="preserve"> della cooperazione giudiziaria penale nell’Unione europea. Il metodo funzionalista.</w:t>
            </w:r>
          </w:p>
          <w:p w14:paraId="2F5D03AD" w14:textId="7C38742F" w:rsidR="00CA5CB6" w:rsidRDefault="00374A74" w:rsidP="001A296C">
            <w:pPr>
              <w:jc w:val="both"/>
            </w:pPr>
            <w:r>
              <w:t>Origini del processo di integrazione europea</w:t>
            </w:r>
            <w:r w:rsidR="00691C7F">
              <w:t>,</w:t>
            </w:r>
            <w:r>
              <w:t xml:space="preserve"> suoi </w:t>
            </w:r>
            <w:r w:rsidR="00691C7F">
              <w:t>principali sviluppi. Evoluzione della cooperazione giudiziaria penale  dal trattato di Maastricht al Trattato di Lisbona</w:t>
            </w:r>
            <w:r>
              <w:t xml:space="preserve">. </w:t>
            </w:r>
          </w:p>
          <w:p w14:paraId="0459089F" w14:textId="795046A5" w:rsidR="00AC67FA" w:rsidRPr="00AF59BC" w:rsidRDefault="00AC67FA" w:rsidP="00CA5CB6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AC67FA"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D7BA68F" w:rsidR="00AC67FA" w:rsidRPr="002560AD" w:rsidRDefault="001D2B6F" w:rsidP="00AC67FA">
            <w:pPr>
              <w:jc w:val="both"/>
            </w:pPr>
            <w:r>
              <w:t>1</w:t>
            </w:r>
            <w:r w:rsidR="007460C2">
              <w:t>2</w:t>
            </w:r>
            <w:r>
              <w:t xml:space="preserve"> ottobre</w:t>
            </w:r>
          </w:p>
        </w:tc>
        <w:tc>
          <w:tcPr>
            <w:tcW w:w="1937" w:type="dxa"/>
          </w:tcPr>
          <w:p w14:paraId="7C3676C7" w14:textId="769C3CFA" w:rsidR="00AC67FA" w:rsidRPr="00AF59BC" w:rsidRDefault="00AC67FA" w:rsidP="00256650">
            <w:pPr>
              <w:jc w:val="both"/>
            </w:pPr>
            <w:r>
              <w:t xml:space="preserve">Parte </w:t>
            </w:r>
            <w:r w:rsidR="00234EE4">
              <w:t>istituzionale Diritto UE</w:t>
            </w:r>
          </w:p>
        </w:tc>
        <w:tc>
          <w:tcPr>
            <w:tcW w:w="5575" w:type="dxa"/>
            <w:shd w:val="clear" w:color="auto" w:fill="auto"/>
          </w:tcPr>
          <w:p w14:paraId="5077A268" w14:textId="7178D198" w:rsidR="00AC67FA" w:rsidRPr="00AF59BC" w:rsidRDefault="00374A74" w:rsidP="000D0CFA">
            <w:pPr>
              <w:jc w:val="both"/>
            </w:pPr>
            <w:r>
              <w:t xml:space="preserve">Ammissione di nuovi Stati, recesso e </w:t>
            </w:r>
            <w:r w:rsidR="005A22DA">
              <w:t xml:space="preserve">tutela dei </w:t>
            </w:r>
            <w:r>
              <w:t>valori fondanti</w:t>
            </w:r>
            <w:r w:rsidR="00AF0C11">
              <w:t xml:space="preserve"> </w:t>
            </w:r>
          </w:p>
        </w:tc>
      </w:tr>
      <w:tr w:rsidR="00AC67FA" w:rsidRPr="00B71D13" w14:paraId="120E9A85" w14:textId="77777777" w:rsidTr="00AC67FA"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456F905D" w:rsidR="00AC67FA" w:rsidRPr="009058A9" w:rsidRDefault="001D2B6F" w:rsidP="001D2B6F">
            <w:pPr>
              <w:jc w:val="both"/>
            </w:pPr>
            <w:r>
              <w:t>1</w:t>
            </w:r>
            <w:r w:rsidR="003A488B">
              <w:t>9</w:t>
            </w:r>
            <w:r w:rsidR="00AC67FA">
              <w:t xml:space="preserve"> </w:t>
            </w:r>
            <w:r>
              <w:t>ottobre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5B82785D" w:rsidR="00AC67FA" w:rsidRPr="001E55F7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52A15389" w14:textId="2973923E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 xml:space="preserve">La </w:t>
            </w:r>
            <w:r w:rsidR="00374A74">
              <w:t>natura giuridica dell’UE, la delimitazione delle competenze, l’integrazione differenziata.</w:t>
            </w:r>
          </w:p>
        </w:tc>
      </w:tr>
      <w:tr w:rsidR="00AC67FA" w:rsidRPr="00B71D13" w14:paraId="4EA37411" w14:textId="77777777" w:rsidTr="00AC67FA"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3C0EEF86" w:rsidR="00AC67FA" w:rsidRPr="006C36A3" w:rsidRDefault="003A488B" w:rsidP="005863A6">
            <w:pPr>
              <w:jc w:val="both"/>
            </w:pPr>
            <w:r>
              <w:t>20</w:t>
            </w:r>
            <w:r w:rsidR="001D2B6F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24E004B8" w:rsidR="00AC67FA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68D1AB3F" w14:textId="42AAC118" w:rsidR="00AC67FA" w:rsidRPr="00B71D13" w:rsidRDefault="00374A74" w:rsidP="0066282F">
            <w:pPr>
              <w:jc w:val="both"/>
              <w:rPr>
                <w:sz w:val="28"/>
                <w:szCs w:val="28"/>
              </w:rPr>
            </w:pPr>
            <w:r>
              <w:t>Cittadinanza dell’Unione europea</w:t>
            </w:r>
          </w:p>
        </w:tc>
      </w:tr>
      <w:tr w:rsidR="00AC67FA" w:rsidRPr="00B71D13" w14:paraId="381BE92E" w14:textId="77777777" w:rsidTr="00AC67FA"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208869ED" w:rsidR="00B1773D" w:rsidRPr="005A22DA" w:rsidRDefault="000A7C40" w:rsidP="005863A6">
            <w:pPr>
              <w:jc w:val="both"/>
              <w:rPr>
                <w:highlight w:val="yellow"/>
              </w:rPr>
            </w:pPr>
            <w:r w:rsidRPr="000A7C40">
              <w:t>26</w:t>
            </w:r>
            <w:r w:rsidR="001D2B6F" w:rsidRPr="000A7C40">
              <w:t xml:space="preserve"> ottobre</w:t>
            </w:r>
          </w:p>
        </w:tc>
        <w:tc>
          <w:tcPr>
            <w:tcW w:w="1937" w:type="dxa"/>
          </w:tcPr>
          <w:p w14:paraId="2D68D84B" w14:textId="460F8C4C" w:rsidR="00AC67FA" w:rsidRPr="001E55F7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2A3E6E58" w14:textId="470931E8" w:rsidR="00AC67FA" w:rsidRPr="00782D89" w:rsidRDefault="00374A74" w:rsidP="005C2839">
            <w:pPr>
              <w:jc w:val="both"/>
            </w:pPr>
            <w:r>
              <w:t xml:space="preserve">Istituzioni politiche dell’Unione europea </w:t>
            </w:r>
          </w:p>
        </w:tc>
      </w:tr>
      <w:tr w:rsidR="00AC67FA" w:rsidRPr="00B71D13" w14:paraId="0E7A64B0" w14:textId="77777777" w:rsidTr="00AC67FA"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3E222609" w:rsidR="00B1773D" w:rsidRDefault="001D2B6F" w:rsidP="00AC67FA">
            <w:pPr>
              <w:jc w:val="both"/>
            </w:pPr>
            <w:r>
              <w:t>2</w:t>
            </w:r>
            <w:r w:rsidR="000A7C40">
              <w:t>7</w:t>
            </w:r>
            <w:r>
              <w:t xml:space="preserve"> ottobre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CAAC106" w:rsidR="00AC67FA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30CE86BE" w14:textId="7E13F95E" w:rsidR="005C2839" w:rsidRDefault="005C2839" w:rsidP="00FA79BD">
            <w:pPr>
              <w:jc w:val="both"/>
            </w:pPr>
            <w:r>
              <w:t>Procedure di adozione degli atti</w:t>
            </w:r>
          </w:p>
          <w:p w14:paraId="6432DDF8" w14:textId="0CD42201" w:rsidR="00AC67FA" w:rsidRPr="00B71D13" w:rsidRDefault="00374A74" w:rsidP="006124B5">
            <w:pPr>
              <w:jc w:val="both"/>
              <w:rPr>
                <w:sz w:val="28"/>
                <w:szCs w:val="28"/>
              </w:rPr>
            </w:pPr>
            <w:r>
              <w:t>Trattati istitutivi e Carta dei diritti fondamentali</w:t>
            </w:r>
            <w:r w:rsidR="00315113">
              <w:t xml:space="preserve"> (principi generali di diritto non scritto dell’Unione in tema di diritti fondamentali, genesi della Carta, suo valore giuridico, </w:t>
            </w:r>
            <w:r w:rsidR="006124B5">
              <w:t>clausola di aderenza alla CEDU</w:t>
            </w:r>
            <w:r w:rsidR="00315113">
              <w:t xml:space="preserve">, </w:t>
            </w:r>
            <w:r w:rsidR="006124B5">
              <w:t>ambito di applicazione della Carta, con specifico riferimento a istituzioni e organi dell’Unione</w:t>
            </w:r>
            <w:r w:rsidR="00315113">
              <w:t xml:space="preserve">)  </w:t>
            </w:r>
          </w:p>
        </w:tc>
      </w:tr>
      <w:tr w:rsidR="00AC67FA" w:rsidRPr="00B71D13" w14:paraId="789F5EA2" w14:textId="77777777" w:rsidTr="00AC67FA"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1A2DEC72" w:rsidR="00AC67FA" w:rsidRDefault="000A7C40" w:rsidP="005863A6">
            <w:pPr>
              <w:jc w:val="both"/>
            </w:pPr>
            <w:r>
              <w:t>9 novembre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6FBE0513" w:rsidR="00AC67FA" w:rsidRPr="00594107" w:rsidRDefault="00A41CBA" w:rsidP="00256650">
            <w:pPr>
              <w:jc w:val="both"/>
            </w:pPr>
            <w:r>
              <w:lastRenderedPageBreak/>
              <w:t xml:space="preserve">Parte </w:t>
            </w:r>
            <w:r>
              <w:lastRenderedPageBreak/>
              <w:t>istituzionale Diritto UE</w:t>
            </w:r>
          </w:p>
        </w:tc>
        <w:tc>
          <w:tcPr>
            <w:tcW w:w="5575" w:type="dxa"/>
            <w:shd w:val="clear" w:color="auto" w:fill="auto"/>
          </w:tcPr>
          <w:p w14:paraId="35278B9C" w14:textId="523441BD" w:rsidR="00454FEF" w:rsidRDefault="006124B5" w:rsidP="00454FEF">
            <w:pPr>
              <w:jc w:val="both"/>
            </w:pPr>
            <w:r>
              <w:lastRenderedPageBreak/>
              <w:t xml:space="preserve">Ambito di applicazione della Carta per gli Stati membri </w:t>
            </w:r>
            <w:r>
              <w:lastRenderedPageBreak/>
              <w:t>dell’Unione. L’UE e la</w:t>
            </w:r>
            <w:r w:rsidR="00374A74">
              <w:t xml:space="preserve"> Convenzione europea dei diritti dell’uomo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AC67FA" w:rsidRPr="00B71D13" w14:paraId="3F95AA1B" w14:textId="77777777" w:rsidTr="00AC67FA"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6B51011C" w:rsidR="00B1773D" w:rsidRDefault="000A7C40" w:rsidP="005863A6">
            <w:pPr>
              <w:jc w:val="both"/>
            </w:pPr>
            <w:r>
              <w:t>10</w:t>
            </w:r>
            <w:r w:rsidR="003A488B">
              <w:t xml:space="preserve"> novembre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08C0D898" w:rsidR="00AC67FA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6F197B22" w14:textId="41260E38" w:rsidR="00AC67FA" w:rsidRDefault="00374A74" w:rsidP="00961733">
            <w:pPr>
              <w:jc w:val="both"/>
            </w:pPr>
            <w:r>
              <w:t>Atti di diritto derivato dell’Unione e loro effetti negli ordinamenti degli Stati membri</w:t>
            </w:r>
            <w:r w:rsidR="008340BF">
              <w:t xml:space="preserve"> </w:t>
            </w:r>
          </w:p>
        </w:tc>
      </w:tr>
      <w:tr w:rsidR="00AC67FA" w:rsidRPr="00B71D13" w14:paraId="17291653" w14:textId="77777777" w:rsidTr="00AC67FA"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0ED9EF83" w:rsidR="00B1773D" w:rsidRDefault="000A7C40" w:rsidP="001D2B6F">
            <w:pPr>
              <w:jc w:val="both"/>
            </w:pPr>
            <w:r>
              <w:t>11</w:t>
            </w:r>
            <w:r w:rsidR="003A488B">
              <w:t xml:space="preserve"> novembre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228402C7" w:rsidR="00AC67FA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0CE70EA2" w14:textId="610A06AB" w:rsidR="00961733" w:rsidRPr="00090E2B" w:rsidRDefault="00374A74" w:rsidP="00EB61FA">
            <w:pPr>
              <w:jc w:val="both"/>
            </w:pPr>
            <w:r>
              <w:t>Rapporti tra l’ordinamento dell’Unione europea e l’ordinamento italiano</w:t>
            </w:r>
          </w:p>
        </w:tc>
      </w:tr>
      <w:tr w:rsidR="00AC67FA" w:rsidRPr="00B71D13" w14:paraId="2E39ECCF" w14:textId="77777777" w:rsidTr="00AC67FA">
        <w:tc>
          <w:tcPr>
            <w:tcW w:w="675" w:type="dxa"/>
            <w:shd w:val="clear" w:color="auto" w:fill="auto"/>
          </w:tcPr>
          <w:p w14:paraId="1E4A2DD8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1ECD7A15" w14:textId="2FB1EC3C" w:rsidR="00B1773D" w:rsidRDefault="000A7C40" w:rsidP="005863A6">
            <w:pPr>
              <w:jc w:val="both"/>
            </w:pPr>
            <w:r>
              <w:t>16</w:t>
            </w:r>
            <w:r w:rsidR="007460C2">
              <w:t xml:space="preserve"> novembre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589981CB" w:rsidR="00AC67FA" w:rsidRDefault="00A41CBA" w:rsidP="00256650">
            <w:pPr>
              <w:jc w:val="both"/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036AAB4A" w14:textId="73D0CA71" w:rsidR="00AC67FA" w:rsidRPr="00394AFB" w:rsidRDefault="00374A74" w:rsidP="008340BF">
            <w:pPr>
              <w:jc w:val="both"/>
              <w:rPr>
                <w:i/>
                <w:sz w:val="28"/>
                <w:szCs w:val="28"/>
              </w:rPr>
            </w:pPr>
            <w:r>
              <w:t>Competenze della Corte di giustizia: il rinvio pregiudiziale</w:t>
            </w:r>
          </w:p>
        </w:tc>
      </w:tr>
      <w:tr w:rsidR="00AC67FA" w:rsidRPr="00B71D13" w14:paraId="6AE86989" w14:textId="77777777" w:rsidTr="00AC67FA">
        <w:tc>
          <w:tcPr>
            <w:tcW w:w="675" w:type="dxa"/>
            <w:shd w:val="clear" w:color="auto" w:fill="auto"/>
          </w:tcPr>
          <w:p w14:paraId="7F3E7A24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1AE0B915" w14:textId="0B9D2ACF" w:rsidR="00A130C5" w:rsidRPr="000460FA" w:rsidRDefault="000A7C40" w:rsidP="00AC67FA">
            <w:pPr>
              <w:jc w:val="both"/>
            </w:pPr>
            <w:r>
              <w:t>17</w:t>
            </w:r>
            <w:r w:rsidR="007460C2" w:rsidRPr="000460FA">
              <w:t xml:space="preserve"> </w:t>
            </w:r>
            <w:r w:rsidR="001D2B6F" w:rsidRPr="000460FA">
              <w:t>novembre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14153CE3" w:rsidR="00AC67FA" w:rsidRPr="00A92F5A" w:rsidRDefault="00A41CBA" w:rsidP="00256650">
            <w:pPr>
              <w:jc w:val="both"/>
              <w:rPr>
                <w:b/>
                <w:bCs/>
              </w:rPr>
            </w:pPr>
            <w:r>
              <w:t>Parte istituzionale Diritto UE</w:t>
            </w:r>
          </w:p>
        </w:tc>
        <w:tc>
          <w:tcPr>
            <w:tcW w:w="5575" w:type="dxa"/>
            <w:shd w:val="clear" w:color="auto" w:fill="auto"/>
          </w:tcPr>
          <w:p w14:paraId="1986FEC4" w14:textId="2BA84886" w:rsidR="00AC67FA" w:rsidRPr="00711405" w:rsidRDefault="00374A74" w:rsidP="000460FA">
            <w:pPr>
              <w:jc w:val="both"/>
              <w:rPr>
                <w:sz w:val="28"/>
                <w:szCs w:val="28"/>
              </w:rPr>
            </w:pPr>
            <w:r>
              <w:t>Competenze della Corte di giustizia: ricorso contro l‘invalidità degli atti delle istituzioni e ricorso per infrazione contro gli Sta</w:t>
            </w:r>
            <w:r w:rsidR="004F5564">
              <w:t>t</w:t>
            </w:r>
            <w:r>
              <w:t>i membri</w:t>
            </w:r>
          </w:p>
        </w:tc>
      </w:tr>
      <w:tr w:rsidR="00AC67FA" w:rsidRPr="00B71D13" w14:paraId="4F2B3BA7" w14:textId="77777777" w:rsidTr="00AC67FA">
        <w:tc>
          <w:tcPr>
            <w:tcW w:w="675" w:type="dxa"/>
            <w:shd w:val="clear" w:color="auto" w:fill="auto"/>
          </w:tcPr>
          <w:p w14:paraId="71259FC8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4B6FB4F7" w14:textId="06808E6D" w:rsidR="00B1773D" w:rsidRPr="00F538AE" w:rsidRDefault="000A7C40" w:rsidP="00256650">
            <w:pPr>
              <w:jc w:val="both"/>
            </w:pPr>
            <w:r>
              <w:t>18</w:t>
            </w:r>
            <w:r w:rsidR="001D2B6F">
              <w:t xml:space="preserve"> novembre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453774E8" w:rsidR="00AC67FA" w:rsidRDefault="00792CD2" w:rsidP="00256650">
            <w:pPr>
              <w:jc w:val="both"/>
            </w:pPr>
            <w:r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39F19091" w14:textId="58F527CB" w:rsidR="00374A74" w:rsidRPr="00374A74" w:rsidRDefault="005A22DA" w:rsidP="00374A74">
            <w:pPr>
              <w:jc w:val="both"/>
              <w:rPr>
                <w:i/>
                <w:iCs/>
              </w:rPr>
            </w:pPr>
            <w:r>
              <w:t xml:space="preserve">Direttive ed effetti restrittivi del diritto penale degli Stati membri </w:t>
            </w:r>
          </w:p>
          <w:p w14:paraId="405A905E" w14:textId="77777777" w:rsidR="00792CD2" w:rsidRDefault="00792CD2" w:rsidP="000460FA">
            <w:pPr>
              <w:jc w:val="both"/>
            </w:pPr>
          </w:p>
          <w:p w14:paraId="56211B90" w14:textId="51BE284B" w:rsidR="00AC67FA" w:rsidRPr="00DB5A26" w:rsidRDefault="00AC67FA" w:rsidP="00DC17FD">
            <w:pPr>
              <w:jc w:val="both"/>
            </w:pPr>
          </w:p>
        </w:tc>
      </w:tr>
      <w:tr w:rsidR="00AC67FA" w:rsidRPr="00B71D13" w14:paraId="38D0FBFB" w14:textId="77777777" w:rsidTr="00AC67FA">
        <w:tc>
          <w:tcPr>
            <w:tcW w:w="675" w:type="dxa"/>
            <w:shd w:val="clear" w:color="auto" w:fill="auto"/>
          </w:tcPr>
          <w:p w14:paraId="489C556D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579D1FE8" w14:textId="77777777" w:rsidR="00AC67FA" w:rsidRDefault="000A7C40" w:rsidP="005863A6">
            <w:pPr>
              <w:jc w:val="both"/>
            </w:pPr>
            <w:r>
              <w:t>23</w:t>
            </w:r>
            <w:r w:rsidR="001D2B6F">
              <w:t xml:space="preserve"> novembre</w:t>
            </w:r>
            <w:r w:rsidR="00AC67FA" w:rsidRPr="00F538AE">
              <w:t xml:space="preserve"> </w:t>
            </w:r>
          </w:p>
          <w:p w14:paraId="308615AF" w14:textId="70A4E039" w:rsidR="00422224" w:rsidRPr="00594107" w:rsidRDefault="00422224" w:rsidP="005863A6">
            <w:pPr>
              <w:jc w:val="both"/>
            </w:pPr>
          </w:p>
        </w:tc>
        <w:tc>
          <w:tcPr>
            <w:tcW w:w="1937" w:type="dxa"/>
          </w:tcPr>
          <w:p w14:paraId="22FAA14F" w14:textId="24E15CFD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9BC2DAB" w14:textId="77777777" w:rsidR="00422224" w:rsidRPr="00422224" w:rsidRDefault="00422224" w:rsidP="00422224">
            <w:pPr>
              <w:jc w:val="both"/>
              <w:rPr>
                <w:b/>
                <w:bCs/>
              </w:rPr>
            </w:pPr>
            <w:r w:rsidRPr="00422224">
              <w:rPr>
                <w:b/>
                <w:bCs/>
              </w:rPr>
              <w:t>PROVA INTERMEDIA (LEZIONI 1-13)</w:t>
            </w:r>
          </w:p>
          <w:p w14:paraId="567CDE08" w14:textId="77777777" w:rsidR="00A41CBA" w:rsidRDefault="00A41CBA" w:rsidP="00DC17FD">
            <w:pPr>
              <w:jc w:val="both"/>
            </w:pPr>
          </w:p>
          <w:p w14:paraId="40D665B8" w14:textId="77777777" w:rsidR="00A41CBA" w:rsidRDefault="00A41CBA" w:rsidP="00DC17FD">
            <w:pPr>
              <w:jc w:val="both"/>
            </w:pPr>
          </w:p>
          <w:p w14:paraId="040B1929" w14:textId="071CA1F0" w:rsidR="00A92F5A" w:rsidRPr="00DB5A26" w:rsidRDefault="00A92F5A" w:rsidP="00DC17FD">
            <w:pPr>
              <w:jc w:val="both"/>
            </w:pPr>
          </w:p>
        </w:tc>
      </w:tr>
      <w:tr w:rsidR="00AC67FA" w:rsidRPr="00B71D13" w14:paraId="4040C4A4" w14:textId="77777777" w:rsidTr="00AC67FA">
        <w:tc>
          <w:tcPr>
            <w:tcW w:w="675" w:type="dxa"/>
            <w:shd w:val="clear" w:color="auto" w:fill="auto"/>
          </w:tcPr>
          <w:p w14:paraId="445FADF7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5A1B825" w14:textId="4F04ADF2" w:rsidR="00AC67FA" w:rsidRDefault="000A7C40" w:rsidP="005863A6">
            <w:pPr>
              <w:jc w:val="both"/>
            </w:pPr>
            <w:r>
              <w:t>24</w:t>
            </w:r>
            <w:r w:rsidR="001D2B6F">
              <w:t xml:space="preserve"> novembre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377F4C17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09070B7" w14:textId="76E496E7" w:rsidR="00AC67FA" w:rsidRDefault="004A11FB" w:rsidP="00422224">
            <w:pPr>
              <w:jc w:val="both"/>
              <w:rPr>
                <w:szCs w:val="28"/>
              </w:rPr>
            </w:pPr>
            <w:r w:rsidRPr="005A22DA">
              <w:t xml:space="preserve">CONVEGNO Business &amp; Human </w:t>
            </w:r>
            <w:proofErr w:type="spellStart"/>
            <w:r w:rsidRPr="005A22DA">
              <w:t>Rights</w:t>
            </w:r>
            <w:proofErr w:type="spellEnd"/>
          </w:p>
        </w:tc>
      </w:tr>
      <w:tr w:rsidR="00AC67FA" w:rsidRPr="00B71D13" w14:paraId="3E4AC74E" w14:textId="77777777" w:rsidTr="00AC67FA">
        <w:tc>
          <w:tcPr>
            <w:tcW w:w="675" w:type="dxa"/>
            <w:shd w:val="clear" w:color="auto" w:fill="auto"/>
          </w:tcPr>
          <w:p w14:paraId="0FC4AF35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013DA96B" w14:textId="2F8EC512" w:rsidR="00AC67FA" w:rsidRDefault="000A7C40" w:rsidP="00A72DB0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="001D2B6F" w:rsidRPr="000304E2">
              <w:rPr>
                <w:bCs/>
              </w:rPr>
              <w:t xml:space="preserve"> novembre</w:t>
            </w:r>
            <w:r w:rsidR="00AC67FA" w:rsidRPr="000304E2">
              <w:rPr>
                <w:bCs/>
              </w:rPr>
              <w:t xml:space="preserve"> </w:t>
            </w:r>
          </w:p>
          <w:p w14:paraId="07824B37" w14:textId="46D8ABA5" w:rsidR="000304E2" w:rsidRPr="000304E2" w:rsidRDefault="000304E2" w:rsidP="00A72DB0">
            <w:pPr>
              <w:jc w:val="both"/>
              <w:rPr>
                <w:bCs/>
              </w:rPr>
            </w:pPr>
          </w:p>
        </w:tc>
        <w:tc>
          <w:tcPr>
            <w:tcW w:w="1937" w:type="dxa"/>
          </w:tcPr>
          <w:p w14:paraId="2C8C30FB" w14:textId="2996D697" w:rsidR="00AC67FA" w:rsidRDefault="004A11FB" w:rsidP="000460FA">
            <w:pPr>
              <w:jc w:val="both"/>
            </w:pPr>
            <w:r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6E1CE2D0" w14:textId="77777777" w:rsidR="004A11FB" w:rsidRDefault="004A11FB" w:rsidP="004A11FB">
            <w:pPr>
              <w:jc w:val="both"/>
            </w:pPr>
            <w:r>
              <w:t>Direttive ed e</w:t>
            </w:r>
            <w:r w:rsidRPr="00792CD2">
              <w:t>fficacia</w:t>
            </w:r>
            <w:r>
              <w:t xml:space="preserve"> diretta </w:t>
            </w: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malam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partem</w:t>
            </w:r>
            <w:proofErr w:type="spellEnd"/>
          </w:p>
          <w:p w14:paraId="43E4DEF9" w14:textId="588163F5" w:rsidR="00AC67FA" w:rsidRPr="005A22DA" w:rsidRDefault="00AC67FA" w:rsidP="0066282F">
            <w:pPr>
              <w:jc w:val="both"/>
            </w:pPr>
          </w:p>
        </w:tc>
      </w:tr>
      <w:tr w:rsidR="00AC67FA" w:rsidRPr="00A461D1" w14:paraId="6DB82C7B" w14:textId="77777777" w:rsidTr="00AC67FA">
        <w:tc>
          <w:tcPr>
            <w:tcW w:w="675" w:type="dxa"/>
            <w:shd w:val="clear" w:color="auto" w:fill="auto"/>
          </w:tcPr>
          <w:p w14:paraId="55CCD4CD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2E0C91AB" w14:textId="758F00E0" w:rsidR="00AC67FA" w:rsidRDefault="000A7C40" w:rsidP="005863A6">
            <w:pPr>
              <w:jc w:val="both"/>
            </w:pPr>
            <w:r w:rsidRPr="004A11FB">
              <w:t>30</w:t>
            </w:r>
            <w:r w:rsidR="001D2B6F" w:rsidRPr="004A11FB">
              <w:t xml:space="preserve"> novembre</w:t>
            </w:r>
            <w:r w:rsidR="00AC67FA" w:rsidRPr="00A461D1">
              <w:t xml:space="preserve"> </w:t>
            </w:r>
          </w:p>
          <w:p w14:paraId="333D14C1" w14:textId="2CDF1520" w:rsidR="007164B5" w:rsidRPr="00A461D1" w:rsidRDefault="007164B5" w:rsidP="005863A6">
            <w:pPr>
              <w:jc w:val="both"/>
            </w:pPr>
          </w:p>
        </w:tc>
        <w:tc>
          <w:tcPr>
            <w:tcW w:w="1937" w:type="dxa"/>
          </w:tcPr>
          <w:p w14:paraId="4951FC77" w14:textId="552A3717" w:rsidR="00AC67FA" w:rsidRPr="00A461D1" w:rsidRDefault="00792CD2" w:rsidP="00256650">
            <w:pPr>
              <w:jc w:val="both"/>
            </w:pPr>
            <w:r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2D69A3C3" w14:textId="77777777" w:rsidR="00792CD2" w:rsidRDefault="00792CD2" w:rsidP="00792CD2">
            <w:pPr>
              <w:jc w:val="both"/>
            </w:pPr>
            <w:r>
              <w:t>Ravvicinamento delle legislazioni penali sostanziali</w:t>
            </w:r>
          </w:p>
          <w:p w14:paraId="2DF765FE" w14:textId="77777777" w:rsidR="00792CD2" w:rsidRDefault="00792CD2" w:rsidP="00A92F5A">
            <w:pPr>
              <w:jc w:val="both"/>
            </w:pPr>
          </w:p>
          <w:p w14:paraId="210A9101" w14:textId="77777777" w:rsidR="00792CD2" w:rsidRDefault="00792CD2" w:rsidP="00A92F5A">
            <w:pPr>
              <w:jc w:val="both"/>
            </w:pPr>
            <w:bookmarkStart w:id="0" w:name="_GoBack"/>
            <w:bookmarkEnd w:id="0"/>
          </w:p>
          <w:p w14:paraId="2F01A8DF" w14:textId="77777777" w:rsidR="00AC67FA" w:rsidRPr="00A461D1" w:rsidRDefault="00AC67FA" w:rsidP="00374A7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C67FA" w:rsidRPr="00A461D1" w14:paraId="6564EFD9" w14:textId="77777777" w:rsidTr="00AC67FA">
        <w:tc>
          <w:tcPr>
            <w:tcW w:w="675" w:type="dxa"/>
            <w:shd w:val="clear" w:color="auto" w:fill="auto"/>
          </w:tcPr>
          <w:p w14:paraId="4D8F50BC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3BB56F59" w14:textId="739342A7" w:rsidR="005A22DA" w:rsidRPr="004A11FB" w:rsidRDefault="000A7C40" w:rsidP="005863A6">
            <w:pPr>
              <w:jc w:val="both"/>
            </w:pPr>
            <w:r w:rsidRPr="004A11FB">
              <w:t>1</w:t>
            </w:r>
            <w:r w:rsidR="005A22DA" w:rsidRPr="004A11FB">
              <w:t xml:space="preserve"> </w:t>
            </w:r>
            <w:r w:rsidRPr="004A11FB">
              <w:t>dice</w:t>
            </w:r>
            <w:r w:rsidR="005A22DA" w:rsidRPr="004A11FB">
              <w:t>mbre</w:t>
            </w:r>
          </w:p>
          <w:p w14:paraId="0E19256D" w14:textId="1AB3163B" w:rsidR="00AC67FA" w:rsidRPr="0093798F" w:rsidRDefault="00AC67FA" w:rsidP="005863A6">
            <w:pPr>
              <w:jc w:val="both"/>
              <w:rPr>
                <w:highlight w:val="yellow"/>
              </w:rPr>
            </w:pPr>
          </w:p>
        </w:tc>
        <w:tc>
          <w:tcPr>
            <w:tcW w:w="1937" w:type="dxa"/>
          </w:tcPr>
          <w:p w14:paraId="75BD7400" w14:textId="560EA4E5" w:rsidR="00AC67FA" w:rsidRPr="0093798F" w:rsidRDefault="003A3C9C" w:rsidP="00256650">
            <w:pPr>
              <w:jc w:val="both"/>
              <w:rPr>
                <w:highlight w:val="yellow"/>
              </w:rPr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204B1E84" w14:textId="77777777" w:rsidR="005C2839" w:rsidRDefault="005C2839" w:rsidP="005C2839">
            <w:pPr>
              <w:jc w:val="both"/>
            </w:pPr>
            <w:r>
              <w:t>Ravvicinamento delle legislazioni penali sostanziali</w:t>
            </w:r>
          </w:p>
          <w:p w14:paraId="5D27F543" w14:textId="77777777" w:rsidR="000304E2" w:rsidRDefault="000304E2" w:rsidP="00A92F5A">
            <w:pPr>
              <w:jc w:val="both"/>
            </w:pPr>
          </w:p>
          <w:p w14:paraId="20C5F56C" w14:textId="77777777" w:rsidR="00AC67FA" w:rsidRPr="00A461D1" w:rsidRDefault="00AC67FA" w:rsidP="00374A74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C67FA" w:rsidRPr="00A461D1" w14:paraId="31951E08" w14:textId="77777777" w:rsidTr="00AC67FA">
        <w:tc>
          <w:tcPr>
            <w:tcW w:w="675" w:type="dxa"/>
            <w:shd w:val="clear" w:color="auto" w:fill="auto"/>
          </w:tcPr>
          <w:p w14:paraId="6C5239D6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981B710" w14:textId="6C1304BA" w:rsidR="00AC67FA" w:rsidRPr="004A11FB" w:rsidRDefault="007460C2" w:rsidP="009E2D58">
            <w:pPr>
              <w:jc w:val="both"/>
            </w:pPr>
            <w:r w:rsidRPr="004A11FB">
              <w:t>2</w:t>
            </w:r>
            <w:r w:rsidR="000304E2" w:rsidRPr="004A11FB">
              <w:t xml:space="preserve"> dice</w:t>
            </w:r>
            <w:r w:rsidR="001D2B6F" w:rsidRPr="004A11FB">
              <w:t>mbre</w:t>
            </w:r>
            <w:r w:rsidR="00AC67FA" w:rsidRPr="004A11FB">
              <w:t xml:space="preserve"> </w:t>
            </w:r>
          </w:p>
        </w:tc>
        <w:tc>
          <w:tcPr>
            <w:tcW w:w="1937" w:type="dxa"/>
          </w:tcPr>
          <w:p w14:paraId="70589F13" w14:textId="40EBF3A6" w:rsidR="00AC67FA" w:rsidRPr="004A11FB" w:rsidRDefault="00A41CBA" w:rsidP="00256650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C01B353" w14:textId="77777777" w:rsidR="00792CD2" w:rsidRDefault="00792CD2" w:rsidP="00792CD2">
            <w:pPr>
              <w:jc w:val="both"/>
            </w:pPr>
            <w:r>
              <w:t>Ravvicinamento delle legislazioni penali sostanziali</w:t>
            </w:r>
          </w:p>
          <w:p w14:paraId="2478C055" w14:textId="77777777" w:rsidR="00792CD2" w:rsidRDefault="00792CD2" w:rsidP="007164B5">
            <w:pPr>
              <w:jc w:val="both"/>
            </w:pPr>
          </w:p>
          <w:p w14:paraId="4286E4BB" w14:textId="77777777" w:rsidR="00792CD2" w:rsidRDefault="00792CD2" w:rsidP="007164B5">
            <w:pPr>
              <w:jc w:val="both"/>
            </w:pPr>
          </w:p>
          <w:p w14:paraId="47B2CDFC" w14:textId="77777777" w:rsidR="00AC67FA" w:rsidRPr="006162C9" w:rsidRDefault="00AC67FA" w:rsidP="00374A74">
            <w:pPr>
              <w:jc w:val="both"/>
            </w:pPr>
          </w:p>
        </w:tc>
      </w:tr>
      <w:tr w:rsidR="007164B5" w:rsidRPr="00A461D1" w14:paraId="354637AC" w14:textId="77777777" w:rsidTr="00AC67FA">
        <w:tc>
          <w:tcPr>
            <w:tcW w:w="675" w:type="dxa"/>
            <w:shd w:val="clear" w:color="auto" w:fill="auto"/>
          </w:tcPr>
          <w:p w14:paraId="40ADD872" w14:textId="77777777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68556873" w14:textId="5B05433F" w:rsidR="007164B5" w:rsidRPr="004A11FB" w:rsidRDefault="000304E2" w:rsidP="005863A6">
            <w:pPr>
              <w:jc w:val="both"/>
            </w:pPr>
            <w:r w:rsidRPr="004A11FB">
              <w:t>7</w:t>
            </w:r>
            <w:r w:rsidR="007164B5" w:rsidRPr="004A11FB">
              <w:t xml:space="preserve"> </w:t>
            </w:r>
            <w:r w:rsidRPr="004A11FB">
              <w:t>dice</w:t>
            </w:r>
            <w:r w:rsidR="007164B5" w:rsidRPr="004A11FB">
              <w:t>mbre</w:t>
            </w:r>
          </w:p>
        </w:tc>
        <w:tc>
          <w:tcPr>
            <w:tcW w:w="1937" w:type="dxa"/>
          </w:tcPr>
          <w:p w14:paraId="2F94F838" w14:textId="09B85DDE" w:rsidR="007164B5" w:rsidRPr="004A11FB" w:rsidRDefault="00A41CBA" w:rsidP="000C4596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3120D35A" w14:textId="77777777" w:rsidR="005C2839" w:rsidRDefault="005C2839" w:rsidP="005C2839">
            <w:pPr>
              <w:jc w:val="both"/>
            </w:pPr>
            <w:r>
              <w:t>Mandato d’arresto europeo (MAE) e mutuo riconoscimento</w:t>
            </w:r>
          </w:p>
          <w:p w14:paraId="08CFDAEF" w14:textId="77777777" w:rsidR="00792CD2" w:rsidRDefault="00792CD2" w:rsidP="007164B5">
            <w:pPr>
              <w:jc w:val="both"/>
            </w:pPr>
          </w:p>
          <w:p w14:paraId="73DB0B1C" w14:textId="77777777" w:rsidR="007164B5" w:rsidRPr="006162C9" w:rsidRDefault="007164B5" w:rsidP="00374A74">
            <w:pPr>
              <w:jc w:val="both"/>
            </w:pPr>
          </w:p>
        </w:tc>
      </w:tr>
      <w:tr w:rsidR="00AC67FA" w:rsidRPr="00A461D1" w14:paraId="6FCA8536" w14:textId="77777777" w:rsidTr="00AC67FA">
        <w:tc>
          <w:tcPr>
            <w:tcW w:w="675" w:type="dxa"/>
            <w:shd w:val="clear" w:color="auto" w:fill="auto"/>
          </w:tcPr>
          <w:p w14:paraId="61D2824C" w14:textId="400E5278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63DD7C04" w14:textId="10737382" w:rsidR="000A460C" w:rsidRPr="004A11FB" w:rsidRDefault="004A11FB" w:rsidP="005863A6">
            <w:pPr>
              <w:jc w:val="both"/>
            </w:pPr>
            <w:r w:rsidRPr="004A11FB">
              <w:t>14 dicembre</w:t>
            </w:r>
          </w:p>
        </w:tc>
        <w:tc>
          <w:tcPr>
            <w:tcW w:w="1937" w:type="dxa"/>
          </w:tcPr>
          <w:p w14:paraId="42EBA08F" w14:textId="6F971371" w:rsidR="00AC67FA" w:rsidRPr="004A11FB" w:rsidRDefault="00A41CBA" w:rsidP="000C4596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536441E9" w14:textId="77777777" w:rsidR="005C2839" w:rsidRDefault="005C2839" w:rsidP="005C2839">
            <w:pPr>
              <w:jc w:val="both"/>
            </w:pPr>
            <w:r>
              <w:t>MAE e consegna dei cittadini europei e dei residenti</w:t>
            </w:r>
          </w:p>
          <w:p w14:paraId="483418C1" w14:textId="77777777" w:rsidR="00792CD2" w:rsidRDefault="00792CD2" w:rsidP="00A0630D">
            <w:pPr>
              <w:jc w:val="both"/>
            </w:pPr>
          </w:p>
          <w:p w14:paraId="647B787F" w14:textId="6C56E18D" w:rsidR="00AC67FA" w:rsidRPr="00A461D1" w:rsidRDefault="00AC67FA" w:rsidP="00A0630D">
            <w:pPr>
              <w:jc w:val="both"/>
            </w:pPr>
          </w:p>
        </w:tc>
      </w:tr>
      <w:tr w:rsidR="00AC67FA" w:rsidRPr="00A461D1" w14:paraId="07A51054" w14:textId="77777777" w:rsidTr="00AC67FA">
        <w:tc>
          <w:tcPr>
            <w:tcW w:w="675" w:type="dxa"/>
            <w:shd w:val="clear" w:color="auto" w:fill="auto"/>
          </w:tcPr>
          <w:p w14:paraId="47656A18" w14:textId="25844D4E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0F9828E9" w14:textId="77777777" w:rsidR="004A11FB" w:rsidRPr="004A11FB" w:rsidRDefault="004A11FB" w:rsidP="004A11FB">
            <w:pPr>
              <w:jc w:val="both"/>
            </w:pPr>
            <w:r w:rsidRPr="004A11FB">
              <w:t>15 dicembre</w:t>
            </w:r>
          </w:p>
          <w:p w14:paraId="753BDB71" w14:textId="52368404" w:rsidR="00AC67FA" w:rsidRPr="004A11FB" w:rsidRDefault="00AC67FA" w:rsidP="00A461D1">
            <w:pPr>
              <w:jc w:val="both"/>
            </w:pPr>
          </w:p>
          <w:p w14:paraId="6431EBE5" w14:textId="3EDCAFB5" w:rsidR="00BA44FD" w:rsidRPr="004A11FB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6B311C11" w:rsidR="00AC67FA" w:rsidRPr="004A11FB" w:rsidRDefault="00AC67FA" w:rsidP="00D90FDB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59B5362" w14:textId="77777777" w:rsidR="005C2839" w:rsidRDefault="005C2839" w:rsidP="005C2839">
            <w:pPr>
              <w:jc w:val="both"/>
            </w:pPr>
            <w:r>
              <w:t>CONFERENZA DI FACOLTA’</w:t>
            </w:r>
          </w:p>
          <w:p w14:paraId="554795C8" w14:textId="77777777" w:rsidR="00792CD2" w:rsidRDefault="00792CD2" w:rsidP="00A92F5A">
            <w:pPr>
              <w:jc w:val="both"/>
            </w:pPr>
          </w:p>
          <w:p w14:paraId="035FA762" w14:textId="77777777" w:rsidR="00AC67FA" w:rsidRPr="00A461D1" w:rsidRDefault="00AC67FA" w:rsidP="00374A74">
            <w:pPr>
              <w:jc w:val="both"/>
              <w:rPr>
                <w:b/>
              </w:rPr>
            </w:pPr>
          </w:p>
        </w:tc>
      </w:tr>
      <w:tr w:rsidR="00AC67FA" w:rsidRPr="00A461D1" w14:paraId="36A6A521" w14:textId="77777777" w:rsidTr="00AC67FA">
        <w:tc>
          <w:tcPr>
            <w:tcW w:w="675" w:type="dxa"/>
            <w:shd w:val="clear" w:color="auto" w:fill="auto"/>
          </w:tcPr>
          <w:p w14:paraId="6270230E" w14:textId="29DD41EC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58C7B936" w14:textId="77777777" w:rsidR="004A11FB" w:rsidRPr="004A11FB" w:rsidRDefault="004A11FB" w:rsidP="004A11FB">
            <w:pPr>
              <w:jc w:val="both"/>
            </w:pPr>
            <w:r w:rsidRPr="004A11FB">
              <w:t>16 dicembre</w:t>
            </w:r>
          </w:p>
          <w:p w14:paraId="02FDC74D" w14:textId="43C5F2B0" w:rsidR="00BA44FD" w:rsidRPr="004A11FB" w:rsidRDefault="00BA44FD" w:rsidP="004A11FB">
            <w:pPr>
              <w:jc w:val="both"/>
            </w:pPr>
          </w:p>
        </w:tc>
        <w:tc>
          <w:tcPr>
            <w:tcW w:w="1937" w:type="dxa"/>
          </w:tcPr>
          <w:p w14:paraId="5CD38813" w14:textId="5EB21C76" w:rsidR="00AC67FA" w:rsidRPr="004A11FB" w:rsidRDefault="00A41CBA" w:rsidP="00D90FDB">
            <w:pPr>
              <w:jc w:val="both"/>
            </w:pPr>
            <w:r w:rsidRPr="004A11FB">
              <w:lastRenderedPageBreak/>
              <w:t xml:space="preserve">Parte materiale </w:t>
            </w:r>
            <w:r w:rsidRPr="004A11FB">
              <w:lastRenderedPageBreak/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011EC5EF" w14:textId="46CE8C05" w:rsidR="00792CD2" w:rsidRDefault="00792CD2" w:rsidP="00D21A56">
            <w:pPr>
              <w:jc w:val="both"/>
            </w:pPr>
            <w:r w:rsidRPr="00792CD2">
              <w:lastRenderedPageBreak/>
              <w:t xml:space="preserve">MAE e </w:t>
            </w:r>
            <w:r>
              <w:t>diritti fondamentali della persona richiesta</w:t>
            </w:r>
          </w:p>
          <w:p w14:paraId="40439B2B" w14:textId="77777777" w:rsidR="00792CD2" w:rsidRDefault="00792CD2" w:rsidP="00D21A56">
            <w:pPr>
              <w:jc w:val="both"/>
            </w:pPr>
          </w:p>
          <w:p w14:paraId="49149BB7" w14:textId="41DD9CC7" w:rsidR="00AC67FA" w:rsidRPr="00A461D1" w:rsidRDefault="00AC67FA" w:rsidP="00D21A56">
            <w:pPr>
              <w:jc w:val="both"/>
            </w:pPr>
          </w:p>
        </w:tc>
      </w:tr>
      <w:tr w:rsidR="00AC67FA" w:rsidRPr="00A461D1" w14:paraId="47418F2D" w14:textId="77777777" w:rsidTr="00AC67FA">
        <w:tc>
          <w:tcPr>
            <w:tcW w:w="675" w:type="dxa"/>
            <w:shd w:val="clear" w:color="auto" w:fill="auto"/>
          </w:tcPr>
          <w:p w14:paraId="3219C12D" w14:textId="56AEC94D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</w:tcPr>
          <w:p w14:paraId="5F566A9B" w14:textId="77777777" w:rsidR="004A11FB" w:rsidRPr="004A11FB" w:rsidRDefault="004A11FB" w:rsidP="004A11FB">
            <w:pPr>
              <w:jc w:val="both"/>
            </w:pPr>
            <w:r w:rsidRPr="004A11FB">
              <w:t>21 dicembre</w:t>
            </w:r>
          </w:p>
          <w:p w14:paraId="21149B30" w14:textId="7F49D370" w:rsidR="00235697" w:rsidRPr="004A11FB" w:rsidRDefault="00235697" w:rsidP="004A11FB">
            <w:pPr>
              <w:jc w:val="both"/>
            </w:pPr>
          </w:p>
        </w:tc>
        <w:tc>
          <w:tcPr>
            <w:tcW w:w="1937" w:type="dxa"/>
          </w:tcPr>
          <w:p w14:paraId="2E9250FD" w14:textId="3D90EBC9" w:rsidR="00AC67FA" w:rsidRPr="004A11FB" w:rsidRDefault="00A41CBA" w:rsidP="00256650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3E39B780" w14:textId="6046DB88" w:rsidR="00AC67FA" w:rsidRPr="00792CD2" w:rsidRDefault="00792CD2" w:rsidP="006162C9">
            <w:pPr>
              <w:jc w:val="both"/>
            </w:pPr>
            <w:r w:rsidRPr="00792CD2">
              <w:t>MAE e problemi relativi al rispetto dello stato di diritto</w:t>
            </w:r>
          </w:p>
        </w:tc>
      </w:tr>
      <w:tr w:rsidR="00AC67FA" w:rsidRPr="00A461D1" w14:paraId="62F12425" w14:textId="77777777" w:rsidTr="00AC67FA">
        <w:tc>
          <w:tcPr>
            <w:tcW w:w="675" w:type="dxa"/>
            <w:shd w:val="clear" w:color="auto" w:fill="auto"/>
          </w:tcPr>
          <w:p w14:paraId="391E9DD8" w14:textId="26881521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466BE1A9" w14:textId="71E2EC6C" w:rsidR="004A11FB" w:rsidRPr="004A11FB" w:rsidRDefault="004A11FB" w:rsidP="004A11FB">
            <w:pPr>
              <w:jc w:val="both"/>
            </w:pPr>
            <w:r w:rsidRPr="004A11FB">
              <w:t>1</w:t>
            </w:r>
            <w:r>
              <w:t>1</w:t>
            </w:r>
            <w:r w:rsidRPr="004A11FB">
              <w:t xml:space="preserve"> gennaio 2023</w:t>
            </w:r>
          </w:p>
          <w:p w14:paraId="02A49B1C" w14:textId="1BB25358" w:rsidR="00235697" w:rsidRPr="004A11FB" w:rsidRDefault="00235697" w:rsidP="00256650">
            <w:pPr>
              <w:jc w:val="both"/>
            </w:pPr>
          </w:p>
          <w:p w14:paraId="46DF4456" w14:textId="77777777" w:rsidR="00AC67FA" w:rsidRPr="004A11FB" w:rsidRDefault="00AC67FA" w:rsidP="009547F4">
            <w:pPr>
              <w:jc w:val="both"/>
            </w:pPr>
          </w:p>
        </w:tc>
        <w:tc>
          <w:tcPr>
            <w:tcW w:w="1937" w:type="dxa"/>
          </w:tcPr>
          <w:p w14:paraId="7E4D7606" w14:textId="006C0C6E" w:rsidR="00AC67FA" w:rsidRPr="004A11FB" w:rsidRDefault="00A41CBA" w:rsidP="00256650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0C5169E" w14:textId="1D2306D2" w:rsidR="00792CD2" w:rsidRDefault="00792CD2" w:rsidP="006142CB">
            <w:pPr>
              <w:jc w:val="both"/>
            </w:pPr>
            <w:r>
              <w:t>Trasferimento di detenuti nell’Unione europea</w:t>
            </w:r>
          </w:p>
          <w:p w14:paraId="294D27BD" w14:textId="77777777" w:rsidR="00792CD2" w:rsidRDefault="00792CD2" w:rsidP="006142CB">
            <w:pPr>
              <w:jc w:val="both"/>
            </w:pPr>
          </w:p>
          <w:p w14:paraId="7CB5BBC3" w14:textId="6DD461B8" w:rsidR="00AC67FA" w:rsidRPr="009547F4" w:rsidRDefault="00AC67FA" w:rsidP="006142CB">
            <w:pPr>
              <w:jc w:val="both"/>
              <w:rPr>
                <w:b/>
              </w:rPr>
            </w:pPr>
          </w:p>
        </w:tc>
      </w:tr>
      <w:tr w:rsidR="00AC67FA" w:rsidRPr="00A461D1" w14:paraId="43A866FA" w14:textId="77777777" w:rsidTr="00AC67FA">
        <w:tc>
          <w:tcPr>
            <w:tcW w:w="675" w:type="dxa"/>
            <w:shd w:val="clear" w:color="auto" w:fill="auto"/>
          </w:tcPr>
          <w:p w14:paraId="596D36EE" w14:textId="72875317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30ADB185" w14:textId="6EB4BCDF" w:rsidR="00BA44FD" w:rsidRPr="004A11FB" w:rsidRDefault="00BA44FD" w:rsidP="00BA44FD">
            <w:pPr>
              <w:jc w:val="both"/>
            </w:pPr>
            <w:r w:rsidRPr="004A11FB">
              <w:t>1</w:t>
            </w:r>
            <w:r w:rsidR="004A11FB">
              <w:t>2</w:t>
            </w:r>
            <w:r w:rsidRPr="004A11FB">
              <w:t xml:space="preserve"> </w:t>
            </w:r>
            <w:r w:rsidR="000304E2" w:rsidRPr="004A11FB">
              <w:t>gennaio</w:t>
            </w:r>
            <w:r w:rsidR="0050569C" w:rsidRPr="004A11FB">
              <w:t xml:space="preserve"> 2023</w:t>
            </w:r>
          </w:p>
          <w:p w14:paraId="50D9968D" w14:textId="1F828F9B" w:rsidR="00AC67FA" w:rsidRPr="004A11FB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57D61430" w:rsidR="00AC67FA" w:rsidRPr="004A11FB" w:rsidRDefault="00A41CBA" w:rsidP="00924945">
            <w:pPr>
              <w:jc w:val="both"/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ED2F333" w14:textId="705C1A39" w:rsidR="00792CD2" w:rsidRDefault="00792CD2" w:rsidP="00924945">
            <w:pPr>
              <w:jc w:val="both"/>
            </w:pPr>
            <w:r>
              <w:t>L’Ordine di indagine europeo (EIO)</w:t>
            </w:r>
          </w:p>
          <w:p w14:paraId="6C6200A2" w14:textId="77777777" w:rsidR="00792CD2" w:rsidRDefault="00792CD2" w:rsidP="00924945">
            <w:pPr>
              <w:jc w:val="both"/>
            </w:pPr>
          </w:p>
          <w:p w14:paraId="08BFDDB0" w14:textId="07B5D179" w:rsidR="00AC67FA" w:rsidRPr="00A461D1" w:rsidRDefault="00AC67FA" w:rsidP="00924945">
            <w:pPr>
              <w:jc w:val="both"/>
              <w:rPr>
                <w:b/>
              </w:rPr>
            </w:pPr>
          </w:p>
        </w:tc>
      </w:tr>
      <w:tr w:rsidR="00BA44FD" w:rsidRPr="00A461D1" w14:paraId="18007578" w14:textId="77777777" w:rsidTr="00AC67FA">
        <w:tc>
          <w:tcPr>
            <w:tcW w:w="675" w:type="dxa"/>
            <w:shd w:val="clear" w:color="auto" w:fill="auto"/>
          </w:tcPr>
          <w:p w14:paraId="09DD96BF" w14:textId="1F97F6D7" w:rsidR="00BA44FD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30B26432" w14:textId="497D48E7" w:rsidR="00BA44FD" w:rsidRPr="004A11FB" w:rsidRDefault="004A11FB" w:rsidP="00AD3386">
            <w:pPr>
              <w:jc w:val="both"/>
            </w:pPr>
            <w:r>
              <w:t>13</w:t>
            </w:r>
            <w:r w:rsidR="00BA44FD" w:rsidRPr="004A11FB">
              <w:t xml:space="preserve"> </w:t>
            </w:r>
            <w:r w:rsidR="000304E2" w:rsidRPr="004A11FB">
              <w:t>gennaio</w:t>
            </w:r>
            <w:r w:rsidR="0050569C" w:rsidRPr="004A11FB">
              <w:t xml:space="preserve"> 2023</w:t>
            </w:r>
          </w:p>
          <w:p w14:paraId="14ECCA0C" w14:textId="7E2B75C6" w:rsidR="00BA44FD" w:rsidRPr="004A11FB" w:rsidRDefault="00BA44FD" w:rsidP="00AD3386">
            <w:pPr>
              <w:jc w:val="both"/>
            </w:pPr>
          </w:p>
        </w:tc>
        <w:tc>
          <w:tcPr>
            <w:tcW w:w="1937" w:type="dxa"/>
          </w:tcPr>
          <w:p w14:paraId="5B0FEBB9" w14:textId="5ACCC91C" w:rsidR="00BA44FD" w:rsidRPr="004A11FB" w:rsidRDefault="00A41CBA" w:rsidP="00256650">
            <w:pPr>
              <w:jc w:val="both"/>
            </w:pPr>
            <w:r w:rsidRPr="004A11FB">
              <w:t xml:space="preserve">Parte materiale Cooperazione giudiziaria penale </w:t>
            </w:r>
          </w:p>
        </w:tc>
        <w:tc>
          <w:tcPr>
            <w:tcW w:w="5575" w:type="dxa"/>
            <w:shd w:val="clear" w:color="auto" w:fill="auto"/>
          </w:tcPr>
          <w:p w14:paraId="576DC03A" w14:textId="34FFDD30" w:rsidR="00792CD2" w:rsidRDefault="00792CD2" w:rsidP="00924945">
            <w:pPr>
              <w:jc w:val="both"/>
            </w:pPr>
            <w:r>
              <w:t>Altri strumenti attuativi del principio del mutuo riconoscimento</w:t>
            </w:r>
          </w:p>
          <w:p w14:paraId="11B24F94" w14:textId="77777777" w:rsidR="00792CD2" w:rsidRDefault="00792CD2" w:rsidP="00924945">
            <w:pPr>
              <w:jc w:val="both"/>
            </w:pPr>
          </w:p>
          <w:p w14:paraId="0CD30F59" w14:textId="77777777" w:rsidR="00BA44FD" w:rsidRPr="00A461D1" w:rsidRDefault="00BA44FD" w:rsidP="00106DAD">
            <w:pPr>
              <w:jc w:val="both"/>
            </w:pPr>
          </w:p>
        </w:tc>
      </w:tr>
      <w:tr w:rsidR="00AC67FA" w:rsidRPr="00A461D1" w14:paraId="3E764BF3" w14:textId="77777777" w:rsidTr="00AC67FA">
        <w:tc>
          <w:tcPr>
            <w:tcW w:w="675" w:type="dxa"/>
            <w:shd w:val="clear" w:color="auto" w:fill="auto"/>
          </w:tcPr>
          <w:p w14:paraId="2E836DF2" w14:textId="314FA7C1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107F6DC7" w14:textId="0894EA95" w:rsidR="00AC67FA" w:rsidRPr="004A11FB" w:rsidRDefault="008F5045" w:rsidP="00AD3386">
            <w:pPr>
              <w:jc w:val="both"/>
            </w:pPr>
            <w:r w:rsidRPr="004A11FB">
              <w:t>1</w:t>
            </w:r>
            <w:r w:rsidR="004A11FB">
              <w:t>8</w:t>
            </w:r>
            <w:r w:rsidRPr="004A11FB">
              <w:t xml:space="preserve"> gennaio</w:t>
            </w:r>
            <w:r w:rsidR="0050569C" w:rsidRPr="004A11FB">
              <w:t xml:space="preserve"> 2023</w:t>
            </w:r>
          </w:p>
          <w:p w14:paraId="031DB0B0" w14:textId="523D30A1" w:rsidR="000A460C" w:rsidRPr="004A11FB" w:rsidRDefault="000A460C" w:rsidP="004A6D1F">
            <w:pPr>
              <w:jc w:val="both"/>
            </w:pPr>
          </w:p>
        </w:tc>
        <w:tc>
          <w:tcPr>
            <w:tcW w:w="1937" w:type="dxa"/>
          </w:tcPr>
          <w:p w14:paraId="25100643" w14:textId="68206033" w:rsidR="00AC67FA" w:rsidRPr="004A11FB" w:rsidRDefault="00A41CBA" w:rsidP="00A41CBA">
            <w:pPr>
              <w:jc w:val="both"/>
            </w:pPr>
            <w:r w:rsidRPr="004A11FB">
              <w:t xml:space="preserve">Parte materiale Cooperazione giudiziaria penale </w:t>
            </w:r>
          </w:p>
        </w:tc>
        <w:tc>
          <w:tcPr>
            <w:tcW w:w="5575" w:type="dxa"/>
            <w:shd w:val="clear" w:color="auto" w:fill="auto"/>
          </w:tcPr>
          <w:p w14:paraId="72CD0644" w14:textId="4A7FE2C7" w:rsidR="003C47E0" w:rsidRPr="00A461D1" w:rsidRDefault="00792CD2" w:rsidP="004938EB">
            <w:pPr>
              <w:jc w:val="both"/>
            </w:pPr>
            <w:r>
              <w:rPr>
                <w:iCs/>
              </w:rPr>
              <w:t>Pubblico ministero europeo (EPPO)</w:t>
            </w:r>
          </w:p>
        </w:tc>
      </w:tr>
      <w:tr w:rsidR="00AC67FA" w:rsidRPr="00A461D1" w14:paraId="0885C133" w14:textId="77777777" w:rsidTr="00AC67FA">
        <w:tc>
          <w:tcPr>
            <w:tcW w:w="675" w:type="dxa"/>
            <w:shd w:val="clear" w:color="auto" w:fill="auto"/>
          </w:tcPr>
          <w:p w14:paraId="5B4C7CD2" w14:textId="4ABBFA76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61889C3F" w14:textId="3EB23848" w:rsidR="00AC67FA" w:rsidRPr="004A11FB" w:rsidRDefault="000019B1" w:rsidP="00EB61FA">
            <w:pPr>
              <w:jc w:val="both"/>
            </w:pPr>
            <w:r w:rsidRPr="004A11FB">
              <w:t>1</w:t>
            </w:r>
            <w:r w:rsidR="004A11FB">
              <w:t>9</w:t>
            </w:r>
            <w:r w:rsidR="001D2B6F" w:rsidRPr="004A11FB">
              <w:t xml:space="preserve"> </w:t>
            </w:r>
            <w:r w:rsidRPr="004A11FB">
              <w:t>gennaio</w:t>
            </w:r>
            <w:r w:rsidR="0050569C" w:rsidRPr="004A11FB">
              <w:t xml:space="preserve"> 2023</w:t>
            </w:r>
          </w:p>
          <w:p w14:paraId="205D7270" w14:textId="5EAE5891" w:rsidR="000A460C" w:rsidRPr="004A11FB" w:rsidRDefault="000A460C" w:rsidP="004A6D1F">
            <w:pPr>
              <w:jc w:val="both"/>
            </w:pPr>
          </w:p>
        </w:tc>
        <w:tc>
          <w:tcPr>
            <w:tcW w:w="1937" w:type="dxa"/>
          </w:tcPr>
          <w:p w14:paraId="3BFBE69D" w14:textId="4996B3C1" w:rsidR="00AC67FA" w:rsidRPr="004A11FB" w:rsidRDefault="00A41CBA" w:rsidP="00256650">
            <w:pPr>
              <w:jc w:val="both"/>
              <w:rPr>
                <w:i/>
              </w:rPr>
            </w:pPr>
            <w:r w:rsidRPr="004A11FB"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9CAEA27" w14:textId="25280E30" w:rsidR="00AC67FA" w:rsidRPr="00792CD2" w:rsidRDefault="00792CD2" w:rsidP="004938EB">
            <w:pPr>
              <w:jc w:val="both"/>
              <w:rPr>
                <w:iCs/>
              </w:rPr>
            </w:pPr>
            <w:r>
              <w:rPr>
                <w:iCs/>
              </w:rPr>
              <w:t>Pubblico ministero europeo (EPPO)</w:t>
            </w:r>
          </w:p>
        </w:tc>
      </w:tr>
      <w:tr w:rsidR="000A460C" w:rsidRPr="00A461D1" w14:paraId="78F17717" w14:textId="77777777" w:rsidTr="00AC67FA">
        <w:tc>
          <w:tcPr>
            <w:tcW w:w="675" w:type="dxa"/>
            <w:shd w:val="clear" w:color="auto" w:fill="auto"/>
          </w:tcPr>
          <w:p w14:paraId="2157A91F" w14:textId="77315397" w:rsidR="000A460C" w:rsidRPr="00256F9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3AFFC335" w14:textId="3DAF34ED" w:rsidR="000A460C" w:rsidRPr="00256F91" w:rsidRDefault="004A11FB" w:rsidP="000A460C">
            <w:pPr>
              <w:jc w:val="both"/>
            </w:pPr>
            <w:r>
              <w:t>20</w:t>
            </w:r>
            <w:r w:rsidR="00256F91" w:rsidRPr="00256F91">
              <w:t xml:space="preserve"> </w:t>
            </w:r>
            <w:r w:rsidR="00256F91">
              <w:t>gennaio 202</w:t>
            </w:r>
            <w:r w:rsidR="0050569C">
              <w:t>3</w:t>
            </w:r>
          </w:p>
        </w:tc>
        <w:tc>
          <w:tcPr>
            <w:tcW w:w="1937" w:type="dxa"/>
          </w:tcPr>
          <w:p w14:paraId="00F0A3E5" w14:textId="41AE2E7A" w:rsidR="000A460C" w:rsidRDefault="00A41CBA" w:rsidP="00256650">
            <w:pPr>
              <w:jc w:val="both"/>
            </w:pPr>
            <w:r>
              <w:t>Parte materiale 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2ACC414A" w14:textId="377B45C1" w:rsidR="000A460C" w:rsidRPr="00792CD2" w:rsidRDefault="00792CD2" w:rsidP="004938EB">
            <w:pPr>
              <w:jc w:val="both"/>
              <w:rPr>
                <w:bCs/>
              </w:rPr>
            </w:pPr>
            <w:r w:rsidRPr="00792CD2">
              <w:rPr>
                <w:bCs/>
              </w:rPr>
              <w:t>Eurojust</w:t>
            </w:r>
          </w:p>
        </w:tc>
      </w:tr>
      <w:tr w:rsidR="000A460C" w:rsidRPr="00A461D1" w14:paraId="77F80928" w14:textId="77777777" w:rsidTr="00AC67FA">
        <w:tc>
          <w:tcPr>
            <w:tcW w:w="675" w:type="dxa"/>
            <w:shd w:val="clear" w:color="auto" w:fill="auto"/>
          </w:tcPr>
          <w:p w14:paraId="19AC4CF3" w14:textId="2A8C3FCB" w:rsidR="000A460C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0210BEDA" w14:textId="77A10FE6" w:rsidR="000A460C" w:rsidRPr="005E0489" w:rsidRDefault="004A11FB" w:rsidP="000A460C">
            <w:pPr>
              <w:jc w:val="both"/>
              <w:rPr>
                <w:highlight w:val="yellow"/>
              </w:rPr>
            </w:pPr>
            <w:r>
              <w:t>25, 26 oppure 27 gennaio</w:t>
            </w:r>
          </w:p>
        </w:tc>
        <w:tc>
          <w:tcPr>
            <w:tcW w:w="1937" w:type="dxa"/>
          </w:tcPr>
          <w:p w14:paraId="577669FD" w14:textId="6E02A4C6" w:rsidR="000A460C" w:rsidRDefault="000A460C" w:rsidP="00A41CBA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392AFBD4" w14:textId="77777777" w:rsidR="00A41CBA" w:rsidRPr="004A11FB" w:rsidRDefault="00A41CBA" w:rsidP="00A41CBA">
            <w:pPr>
              <w:jc w:val="both"/>
              <w:rPr>
                <w:b/>
              </w:rPr>
            </w:pPr>
            <w:r w:rsidRPr="004A11FB">
              <w:rPr>
                <w:b/>
              </w:rPr>
              <w:t>PROVA FINALE</w:t>
            </w:r>
          </w:p>
          <w:p w14:paraId="74CD02F9" w14:textId="77777777" w:rsidR="000A460C" w:rsidRPr="00A461D1" w:rsidRDefault="000A460C" w:rsidP="004938EB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3D3B7209" w14:textId="77777777" w:rsidR="004719C4" w:rsidRPr="00A461D1" w:rsidRDefault="004719C4" w:rsidP="004719C4">
      <w:pPr>
        <w:jc w:val="both"/>
        <w:rPr>
          <w:sz w:val="28"/>
          <w:szCs w:val="28"/>
        </w:rPr>
      </w:pPr>
    </w:p>
    <w:p w14:paraId="2C92A61A" w14:textId="77777777" w:rsidR="00DD3928" w:rsidRPr="00A461D1" w:rsidRDefault="00DD3928" w:rsidP="004719C4">
      <w:pPr>
        <w:jc w:val="both"/>
        <w:rPr>
          <w:sz w:val="28"/>
          <w:szCs w:val="28"/>
        </w:rPr>
      </w:pPr>
    </w:p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256650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719C4"/>
    <w:rsid w:val="000019B1"/>
    <w:rsid w:val="000170D3"/>
    <w:rsid w:val="00020181"/>
    <w:rsid w:val="00023481"/>
    <w:rsid w:val="000304E2"/>
    <w:rsid w:val="000435DE"/>
    <w:rsid w:val="000460FA"/>
    <w:rsid w:val="00046A58"/>
    <w:rsid w:val="00061F1A"/>
    <w:rsid w:val="00090E2B"/>
    <w:rsid w:val="000A460C"/>
    <w:rsid w:val="000A7C40"/>
    <w:rsid w:val="000B4A39"/>
    <w:rsid w:val="000C130B"/>
    <w:rsid w:val="000C4596"/>
    <w:rsid w:val="000D0CFA"/>
    <w:rsid w:val="000F0AC2"/>
    <w:rsid w:val="00106DAD"/>
    <w:rsid w:val="00111143"/>
    <w:rsid w:val="00114461"/>
    <w:rsid w:val="00114C40"/>
    <w:rsid w:val="00132770"/>
    <w:rsid w:val="001A296C"/>
    <w:rsid w:val="001A444B"/>
    <w:rsid w:val="001C0562"/>
    <w:rsid w:val="001D2B6F"/>
    <w:rsid w:val="001D7A75"/>
    <w:rsid w:val="001E74EA"/>
    <w:rsid w:val="00225EEC"/>
    <w:rsid w:val="00234EE4"/>
    <w:rsid w:val="00235697"/>
    <w:rsid w:val="002455B4"/>
    <w:rsid w:val="00256650"/>
    <w:rsid w:val="00256F91"/>
    <w:rsid w:val="002B5E5E"/>
    <w:rsid w:val="002C1499"/>
    <w:rsid w:val="002E7991"/>
    <w:rsid w:val="003025F7"/>
    <w:rsid w:val="00315113"/>
    <w:rsid w:val="00331708"/>
    <w:rsid w:val="00353AF9"/>
    <w:rsid w:val="00357F73"/>
    <w:rsid w:val="0036006D"/>
    <w:rsid w:val="0036585B"/>
    <w:rsid w:val="00374A74"/>
    <w:rsid w:val="00396572"/>
    <w:rsid w:val="00396E0D"/>
    <w:rsid w:val="003A135B"/>
    <w:rsid w:val="003A3C9C"/>
    <w:rsid w:val="003A4471"/>
    <w:rsid w:val="003A488B"/>
    <w:rsid w:val="003B78EE"/>
    <w:rsid w:val="003C24EE"/>
    <w:rsid w:val="003C2DF3"/>
    <w:rsid w:val="003C47E0"/>
    <w:rsid w:val="003D1DE3"/>
    <w:rsid w:val="003D30FB"/>
    <w:rsid w:val="003F5D21"/>
    <w:rsid w:val="00403388"/>
    <w:rsid w:val="00403E94"/>
    <w:rsid w:val="004144F2"/>
    <w:rsid w:val="00422224"/>
    <w:rsid w:val="004360DF"/>
    <w:rsid w:val="00454FEF"/>
    <w:rsid w:val="004719C4"/>
    <w:rsid w:val="004877D4"/>
    <w:rsid w:val="004938EB"/>
    <w:rsid w:val="004957B5"/>
    <w:rsid w:val="004A11FB"/>
    <w:rsid w:val="004A6D1F"/>
    <w:rsid w:val="004D6C17"/>
    <w:rsid w:val="004F5564"/>
    <w:rsid w:val="00503309"/>
    <w:rsid w:val="005050EC"/>
    <w:rsid w:val="0050569C"/>
    <w:rsid w:val="00510999"/>
    <w:rsid w:val="00520F7D"/>
    <w:rsid w:val="00522230"/>
    <w:rsid w:val="005863A6"/>
    <w:rsid w:val="005A22DA"/>
    <w:rsid w:val="005C2839"/>
    <w:rsid w:val="005E0489"/>
    <w:rsid w:val="005E4EF4"/>
    <w:rsid w:val="005F15A0"/>
    <w:rsid w:val="005F3B02"/>
    <w:rsid w:val="005F4E1B"/>
    <w:rsid w:val="006124B5"/>
    <w:rsid w:val="006142CB"/>
    <w:rsid w:val="006162C9"/>
    <w:rsid w:val="00655379"/>
    <w:rsid w:val="0066282F"/>
    <w:rsid w:val="00687922"/>
    <w:rsid w:val="0069083B"/>
    <w:rsid w:val="00691C7F"/>
    <w:rsid w:val="00694D42"/>
    <w:rsid w:val="006A3BFD"/>
    <w:rsid w:val="006C0E45"/>
    <w:rsid w:val="006E2200"/>
    <w:rsid w:val="006F04AD"/>
    <w:rsid w:val="00711405"/>
    <w:rsid w:val="007164B5"/>
    <w:rsid w:val="00726EA6"/>
    <w:rsid w:val="007460C2"/>
    <w:rsid w:val="00746710"/>
    <w:rsid w:val="007621F8"/>
    <w:rsid w:val="00782D89"/>
    <w:rsid w:val="00792CD2"/>
    <w:rsid w:val="007C018C"/>
    <w:rsid w:val="007E6B66"/>
    <w:rsid w:val="0081184F"/>
    <w:rsid w:val="008277C9"/>
    <w:rsid w:val="00833F65"/>
    <w:rsid w:val="008340BF"/>
    <w:rsid w:val="00855C78"/>
    <w:rsid w:val="00885463"/>
    <w:rsid w:val="008B2F3A"/>
    <w:rsid w:val="008F5045"/>
    <w:rsid w:val="009077F2"/>
    <w:rsid w:val="00924945"/>
    <w:rsid w:val="0093798F"/>
    <w:rsid w:val="009547F4"/>
    <w:rsid w:val="00961733"/>
    <w:rsid w:val="009866B8"/>
    <w:rsid w:val="009A3BC3"/>
    <w:rsid w:val="009B3679"/>
    <w:rsid w:val="009D7D87"/>
    <w:rsid w:val="009E2D58"/>
    <w:rsid w:val="00A01F33"/>
    <w:rsid w:val="00A0630D"/>
    <w:rsid w:val="00A109F9"/>
    <w:rsid w:val="00A130C5"/>
    <w:rsid w:val="00A2214B"/>
    <w:rsid w:val="00A24210"/>
    <w:rsid w:val="00A41AD7"/>
    <w:rsid w:val="00A41CBA"/>
    <w:rsid w:val="00A461D1"/>
    <w:rsid w:val="00A72925"/>
    <w:rsid w:val="00A72DB0"/>
    <w:rsid w:val="00A86704"/>
    <w:rsid w:val="00A90559"/>
    <w:rsid w:val="00A90DCB"/>
    <w:rsid w:val="00A92F5A"/>
    <w:rsid w:val="00AA08D3"/>
    <w:rsid w:val="00AC67FA"/>
    <w:rsid w:val="00AD23E7"/>
    <w:rsid w:val="00AD3386"/>
    <w:rsid w:val="00AD39BD"/>
    <w:rsid w:val="00AF0C11"/>
    <w:rsid w:val="00B1773D"/>
    <w:rsid w:val="00B31345"/>
    <w:rsid w:val="00B7595A"/>
    <w:rsid w:val="00BA44FD"/>
    <w:rsid w:val="00BB4D88"/>
    <w:rsid w:val="00BD5238"/>
    <w:rsid w:val="00C21572"/>
    <w:rsid w:val="00C24730"/>
    <w:rsid w:val="00C3094E"/>
    <w:rsid w:val="00C50EA3"/>
    <w:rsid w:val="00C81243"/>
    <w:rsid w:val="00C8422B"/>
    <w:rsid w:val="00C96953"/>
    <w:rsid w:val="00CA5CB6"/>
    <w:rsid w:val="00CA7DAB"/>
    <w:rsid w:val="00CB6DF8"/>
    <w:rsid w:val="00CC4769"/>
    <w:rsid w:val="00CD0C28"/>
    <w:rsid w:val="00CD408B"/>
    <w:rsid w:val="00CF0C70"/>
    <w:rsid w:val="00D00EEE"/>
    <w:rsid w:val="00D21A56"/>
    <w:rsid w:val="00D62024"/>
    <w:rsid w:val="00D67224"/>
    <w:rsid w:val="00D678A6"/>
    <w:rsid w:val="00D90FDB"/>
    <w:rsid w:val="00DC17FD"/>
    <w:rsid w:val="00DC6410"/>
    <w:rsid w:val="00DD1770"/>
    <w:rsid w:val="00DD2D96"/>
    <w:rsid w:val="00DD3928"/>
    <w:rsid w:val="00DE48FE"/>
    <w:rsid w:val="00DE769A"/>
    <w:rsid w:val="00E06F2C"/>
    <w:rsid w:val="00E30C58"/>
    <w:rsid w:val="00E36E72"/>
    <w:rsid w:val="00E37452"/>
    <w:rsid w:val="00E52A11"/>
    <w:rsid w:val="00E6136B"/>
    <w:rsid w:val="00E6415C"/>
    <w:rsid w:val="00E7484B"/>
    <w:rsid w:val="00EA6B0F"/>
    <w:rsid w:val="00EA74A2"/>
    <w:rsid w:val="00EA7D18"/>
    <w:rsid w:val="00EB53FE"/>
    <w:rsid w:val="00EB61FA"/>
    <w:rsid w:val="00EC1A8C"/>
    <w:rsid w:val="00EC6B83"/>
    <w:rsid w:val="00ED240C"/>
    <w:rsid w:val="00F538AE"/>
    <w:rsid w:val="00F568AE"/>
    <w:rsid w:val="00F91679"/>
    <w:rsid w:val="00F9234F"/>
    <w:rsid w:val="00F934F8"/>
    <w:rsid w:val="00FA79BD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Emanuela Pistoia</cp:lastModifiedBy>
  <cp:revision>15</cp:revision>
  <dcterms:created xsi:type="dcterms:W3CDTF">2022-10-04T16:42:00Z</dcterms:created>
  <dcterms:modified xsi:type="dcterms:W3CDTF">2022-10-27T18:53:00Z</dcterms:modified>
</cp:coreProperties>
</file>