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E18E" w14:textId="77777777" w:rsidR="00CB2ADA" w:rsidRPr="00CB2ADA" w:rsidRDefault="00CB2ADA" w:rsidP="00CB2ADA">
      <w:pPr>
        <w:pStyle w:val="NormaleWeb"/>
        <w:rPr>
          <w:lang w:val="en-US"/>
        </w:rPr>
      </w:pPr>
      <w:r w:rsidRPr="00CB2ADA">
        <w:rPr>
          <w:rFonts w:ascii="MinionPro" w:hAnsi="MinionPro"/>
          <w:sz w:val="20"/>
          <w:szCs w:val="20"/>
          <w:lang w:val="en-US"/>
        </w:rPr>
        <w:t>Epicuticular waxes protect the berry against light and heat stress. Although their main function is as transport barriers, they also play a role in protection against PAR and UV radiation by scattering, reflection, and even absorption, thus reducing exposure levels in the underlying tissues (</w:t>
      </w:r>
      <w:r w:rsidRPr="00CB2ADA">
        <w:rPr>
          <w:rFonts w:ascii="MinionPro" w:hAnsi="MinionPro"/>
          <w:b/>
          <w:bCs/>
          <w:sz w:val="20"/>
          <w:szCs w:val="20"/>
          <w:lang w:val="en-US"/>
        </w:rPr>
        <w:t>Figure 8</w:t>
      </w:r>
      <w:r w:rsidRPr="00CB2ADA">
        <w:rPr>
          <w:rFonts w:ascii="MinionPro" w:hAnsi="MinionPro"/>
          <w:sz w:val="20"/>
          <w:szCs w:val="20"/>
          <w:lang w:val="en-US"/>
        </w:rPr>
        <w:t>). The capacity of this layer to scatter light is dependent on the size, distribution, and orientation of the wax crystals. Plate-like wax crystals reflect and scatter a higher proportion of light than amorphous waxes (</w:t>
      </w:r>
      <w:r w:rsidRPr="00CB2ADA">
        <w:rPr>
          <w:rFonts w:ascii="MinionPro" w:hAnsi="MinionPro"/>
          <w:color w:val="4C4C4C"/>
          <w:sz w:val="20"/>
          <w:szCs w:val="20"/>
          <w:lang w:val="en-US"/>
        </w:rPr>
        <w:t>Jenks and Ashworth, 1999</w:t>
      </w:r>
      <w:r w:rsidRPr="00CB2ADA">
        <w:rPr>
          <w:rFonts w:ascii="MinionPro" w:hAnsi="MinionPro"/>
          <w:sz w:val="20"/>
          <w:szCs w:val="20"/>
          <w:lang w:val="en-US"/>
        </w:rPr>
        <w:t>), while still allowing for transpiration (</w:t>
      </w:r>
      <w:proofErr w:type="spellStart"/>
      <w:r w:rsidRPr="00CB2ADA">
        <w:rPr>
          <w:rFonts w:ascii="MinionPro" w:hAnsi="MinionPro"/>
          <w:color w:val="4C4C4C"/>
          <w:sz w:val="20"/>
          <w:szCs w:val="20"/>
          <w:lang w:val="en-US"/>
        </w:rPr>
        <w:t>Muganu</w:t>
      </w:r>
      <w:proofErr w:type="spellEnd"/>
      <w:r w:rsidRPr="00CB2ADA">
        <w:rPr>
          <w:rFonts w:ascii="MinionPro" w:hAnsi="MinionPro"/>
          <w:color w:val="4C4C4C"/>
          <w:sz w:val="20"/>
          <w:szCs w:val="20"/>
          <w:lang w:val="en-US"/>
        </w:rPr>
        <w:t xml:space="preserve"> et al., 2011</w:t>
      </w:r>
      <w:r w:rsidRPr="00CB2ADA">
        <w:rPr>
          <w:rFonts w:ascii="MinionPro" w:hAnsi="MinionPro"/>
          <w:sz w:val="20"/>
          <w:szCs w:val="20"/>
          <w:lang w:val="en-US"/>
        </w:rPr>
        <w:t>). Plate-like wax structures prevail in light- exposed grape berries of several varieties, while berries grown in the shade of the canopy have a higher proportion of amorphous waxes (</w:t>
      </w:r>
      <w:proofErr w:type="spellStart"/>
      <w:r w:rsidRPr="00CB2ADA">
        <w:rPr>
          <w:rFonts w:ascii="MinionPro" w:hAnsi="MinionPro"/>
          <w:color w:val="4C4C4C"/>
          <w:sz w:val="20"/>
          <w:szCs w:val="20"/>
          <w:lang w:val="en-US"/>
        </w:rPr>
        <w:t>Muganu</w:t>
      </w:r>
      <w:proofErr w:type="spellEnd"/>
      <w:r w:rsidRPr="00CB2ADA">
        <w:rPr>
          <w:rFonts w:ascii="MinionPro" w:hAnsi="MinionPro"/>
          <w:color w:val="4C4C4C"/>
          <w:sz w:val="20"/>
          <w:szCs w:val="20"/>
          <w:lang w:val="en-US"/>
        </w:rPr>
        <w:t xml:space="preserve"> et al., 2011</w:t>
      </w:r>
      <w:r w:rsidRPr="00CB2ADA">
        <w:rPr>
          <w:rFonts w:ascii="MinionPro" w:hAnsi="MinionPro"/>
          <w:sz w:val="20"/>
          <w:szCs w:val="20"/>
          <w:lang w:val="en-US"/>
        </w:rPr>
        <w:t>). As sunburn symptoms appear, these waxes lose their crystalline structure and become relatively amorphous (</w:t>
      </w:r>
      <w:r w:rsidRPr="00CB2ADA">
        <w:rPr>
          <w:rFonts w:ascii="MinionPro" w:hAnsi="MinionPro"/>
          <w:b/>
          <w:bCs/>
          <w:sz w:val="20"/>
          <w:szCs w:val="20"/>
          <w:lang w:val="en-US"/>
        </w:rPr>
        <w:t>Figure 8</w:t>
      </w:r>
      <w:r w:rsidRPr="00CB2ADA">
        <w:rPr>
          <w:rFonts w:ascii="MinionPro" w:hAnsi="MinionPro"/>
          <w:sz w:val="20"/>
          <w:szCs w:val="20"/>
          <w:lang w:val="en-US"/>
        </w:rPr>
        <w:t xml:space="preserve">; </w:t>
      </w:r>
      <w:r w:rsidRPr="00CB2ADA">
        <w:rPr>
          <w:rFonts w:ascii="MinionPro" w:hAnsi="MinionPro"/>
          <w:color w:val="4C4C4C"/>
          <w:sz w:val="20"/>
          <w:szCs w:val="20"/>
          <w:lang w:val="en-US"/>
        </w:rPr>
        <w:t>Greer et al., 2006</w:t>
      </w:r>
      <w:r w:rsidRPr="00CB2ADA">
        <w:rPr>
          <w:rFonts w:ascii="MinionPro" w:hAnsi="MinionPro"/>
          <w:sz w:val="20"/>
          <w:szCs w:val="20"/>
          <w:lang w:val="en-US"/>
        </w:rPr>
        <w:t xml:space="preserve">). </w:t>
      </w:r>
    </w:p>
    <w:p w14:paraId="7952E3F7" w14:textId="77777777" w:rsidR="00CB2ADA" w:rsidRPr="00CB2ADA" w:rsidRDefault="00CB2ADA" w:rsidP="00CB2ADA">
      <w:pPr>
        <w:pStyle w:val="NormaleWeb"/>
        <w:rPr>
          <w:lang w:val="en-US"/>
        </w:rPr>
      </w:pPr>
      <w:r w:rsidRPr="00CB2ADA">
        <w:rPr>
          <w:rFonts w:ascii="MinionPro" w:hAnsi="MinionPro"/>
          <w:sz w:val="20"/>
          <w:szCs w:val="20"/>
          <w:lang w:val="en-US"/>
        </w:rPr>
        <w:t>Sun-exposed berries have a thicker layer of epicuticular wax and overall thicker cell walls than shaded ones (</w:t>
      </w:r>
      <w:r w:rsidRPr="00CB2ADA">
        <w:rPr>
          <w:rFonts w:ascii="MinionPro" w:hAnsi="MinionPro"/>
          <w:color w:val="4C4C4C"/>
          <w:sz w:val="20"/>
          <w:szCs w:val="20"/>
          <w:lang w:val="en-US"/>
        </w:rPr>
        <w:t xml:space="preserve">Rosenquist and Morrison, 1989; </w:t>
      </w:r>
      <w:proofErr w:type="spellStart"/>
      <w:r w:rsidRPr="00CB2ADA">
        <w:rPr>
          <w:rFonts w:ascii="MinionPro" w:hAnsi="MinionPro"/>
          <w:color w:val="4C4C4C"/>
          <w:sz w:val="20"/>
          <w:szCs w:val="20"/>
          <w:lang w:val="en-US"/>
        </w:rPr>
        <w:t>Muganu</w:t>
      </w:r>
      <w:proofErr w:type="spellEnd"/>
      <w:r w:rsidRPr="00CB2ADA">
        <w:rPr>
          <w:rFonts w:ascii="MinionPro" w:hAnsi="MinionPro"/>
          <w:color w:val="4C4C4C"/>
          <w:sz w:val="20"/>
          <w:szCs w:val="20"/>
          <w:lang w:val="en-US"/>
        </w:rPr>
        <w:t xml:space="preserve"> et al., 2011; </w:t>
      </w:r>
      <w:proofErr w:type="spellStart"/>
      <w:r w:rsidRPr="00CB2ADA">
        <w:rPr>
          <w:rFonts w:ascii="MinionPro" w:hAnsi="MinionPro"/>
          <w:color w:val="4C4C4C"/>
          <w:sz w:val="20"/>
          <w:szCs w:val="20"/>
          <w:lang w:val="en-US"/>
        </w:rPr>
        <w:t>Verdenal</w:t>
      </w:r>
      <w:proofErr w:type="spellEnd"/>
      <w:r w:rsidRPr="00CB2ADA">
        <w:rPr>
          <w:rFonts w:ascii="MinionPro" w:hAnsi="MinionPro"/>
          <w:color w:val="4C4C4C"/>
          <w:sz w:val="20"/>
          <w:szCs w:val="20"/>
          <w:lang w:val="en-US"/>
        </w:rPr>
        <w:t xml:space="preserve"> et al., 2019</w:t>
      </w:r>
      <w:r w:rsidRPr="00CB2ADA">
        <w:rPr>
          <w:rFonts w:ascii="MinionPro" w:hAnsi="MinionPro"/>
          <w:sz w:val="20"/>
          <w:szCs w:val="20"/>
          <w:lang w:val="en-US"/>
        </w:rPr>
        <w:t xml:space="preserve">), which relates to a higher capacity to reflect light (20–80% of incoming radiation when compared to shaded plants that only reflect 10%; </w:t>
      </w:r>
      <w:r w:rsidRPr="00CB2ADA">
        <w:rPr>
          <w:rFonts w:ascii="MinionPro" w:hAnsi="MinionPro"/>
          <w:color w:val="4C4C4C"/>
          <w:sz w:val="20"/>
          <w:szCs w:val="20"/>
          <w:lang w:val="en-US"/>
        </w:rPr>
        <w:t>Jenks and Ashworth, 1999</w:t>
      </w:r>
      <w:r w:rsidRPr="00CB2ADA">
        <w:rPr>
          <w:rFonts w:ascii="MinionPro" w:hAnsi="MinionPro"/>
          <w:sz w:val="20"/>
          <w:szCs w:val="20"/>
          <w:lang w:val="en-US"/>
        </w:rPr>
        <w:t xml:space="preserve">) </w:t>
      </w:r>
    </w:p>
    <w:p w14:paraId="2DF479FA" w14:textId="410B9521" w:rsidR="00CB2ADA" w:rsidRPr="00CB2ADA" w:rsidRDefault="00CB2ADA" w:rsidP="00CB2ADA">
      <w:pPr>
        <w:pStyle w:val="NormaleWeb"/>
        <w:rPr>
          <w:lang w:val="en-US"/>
        </w:rPr>
      </w:pPr>
      <w:r w:rsidRPr="00CB2ADA">
        <w:rPr>
          <w:rFonts w:ascii="MinionPro" w:hAnsi="MinionPro"/>
          <w:sz w:val="20"/>
          <w:szCs w:val="20"/>
          <w:lang w:val="en-US"/>
        </w:rPr>
        <w:t>It was recently demonstrated that grapes from drought-stressed vines also accumulate higher amounts of epicuticular wax than grapes from non-stressed vines (</w:t>
      </w:r>
      <w:proofErr w:type="spellStart"/>
      <w:r w:rsidRPr="00CB2ADA">
        <w:rPr>
          <w:rFonts w:ascii="MinionPro" w:hAnsi="MinionPro"/>
          <w:color w:val="4C4C4C"/>
          <w:sz w:val="20"/>
          <w:szCs w:val="20"/>
          <w:lang w:val="en-US"/>
        </w:rPr>
        <w:t>Dimopoulos</w:t>
      </w:r>
      <w:proofErr w:type="spellEnd"/>
      <w:r w:rsidRPr="00CB2ADA">
        <w:rPr>
          <w:rFonts w:ascii="MinionPro" w:hAnsi="MinionPro"/>
          <w:color w:val="4C4C4C"/>
          <w:sz w:val="20"/>
          <w:szCs w:val="20"/>
          <w:lang w:val="en-US"/>
        </w:rPr>
        <w:t xml:space="preserve"> et al., 2020</w:t>
      </w:r>
      <w:r w:rsidRPr="00CB2ADA">
        <w:rPr>
          <w:rFonts w:ascii="MinionPro" w:hAnsi="MinionPro"/>
          <w:sz w:val="20"/>
          <w:szCs w:val="20"/>
          <w:lang w:val="en-US"/>
        </w:rPr>
        <w:t xml:space="preserve">), potentially increasing resistance to high-light conditions. </w:t>
      </w:r>
    </w:p>
    <w:p w14:paraId="70BC9A47" w14:textId="6F1F0CBC" w:rsidR="007E7372" w:rsidRDefault="00E0773F">
      <w:r>
        <w:fldChar w:fldCharType="begin"/>
      </w:r>
      <w:r>
        <w:instrText xml:space="preserve"> INCLUDEPICTURE "/Users/solangeramazzotti/Library/Group Containers/UBF8T346G9.ms/WebArchiveCopyPasteTempFiles/com.microsoft.Word/b-Labeled-cutin-deposition-in-a-leaf-Epicuticular-waxes-cover-the-cutin-embedded-with_Q640.jpg"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8761FBB" wp14:editId="719E8FCC">
            <wp:extent cx="3090522" cy="3090522"/>
            <wp:effectExtent l="0" t="0" r="0" b="0"/>
            <wp:docPr id="1" name="Immagine 1" descr="b: Labeled cutin deposition in a leaf. Epicuticular waxes cover the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 Labeled cutin deposition in a leaf. Epicuticular waxes cover the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26" cy="312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51B972A" w14:textId="77777777" w:rsidR="006257D9" w:rsidRDefault="006257D9"/>
    <w:p w14:paraId="6AA989B0" w14:textId="77777777" w:rsidR="006257D9" w:rsidRPr="006257D9" w:rsidRDefault="006257D9" w:rsidP="006257D9">
      <w:pPr>
        <w:rPr>
          <w:lang w:val="en-US"/>
        </w:rPr>
      </w:pPr>
      <w:r w:rsidRPr="006257D9">
        <w:rPr>
          <w:lang w:val="en-US"/>
        </w:rPr>
        <w:t>“Epicuticular wax, often referred to as “bloom,” covers the surface of the cuticle as overlapping platelets forming a strongly hydrophobic layer that protects the berry from water loss and forms the first barrier against pathogen invasion (</w:t>
      </w:r>
      <w:proofErr w:type="spellStart"/>
      <w:r w:rsidRPr="006257D9">
        <w:rPr>
          <w:lang w:val="en-US"/>
        </w:rPr>
        <w:t>Grncarevic</w:t>
      </w:r>
      <w:proofErr w:type="spellEnd"/>
      <w:r w:rsidRPr="006257D9">
        <w:rPr>
          <w:lang w:val="en-US"/>
        </w:rPr>
        <w:t xml:space="preserve"> and </w:t>
      </w:r>
      <w:proofErr w:type="spellStart"/>
      <w:r w:rsidRPr="006257D9">
        <w:rPr>
          <w:lang w:val="en-US"/>
        </w:rPr>
        <w:t>Radler</w:t>
      </w:r>
      <w:proofErr w:type="spellEnd"/>
      <w:r w:rsidRPr="006257D9">
        <w:rPr>
          <w:lang w:val="en-US"/>
        </w:rPr>
        <w:t xml:space="preserve">, 1971; </w:t>
      </w:r>
      <w:proofErr w:type="spellStart"/>
      <w:r w:rsidRPr="006257D9">
        <w:rPr>
          <w:lang w:val="en-US"/>
        </w:rPr>
        <w:t>Possingham</w:t>
      </w:r>
      <w:proofErr w:type="spellEnd"/>
      <w:r w:rsidRPr="006257D9">
        <w:rPr>
          <w:lang w:val="en-US"/>
        </w:rPr>
        <w:t xml:space="preserve"> et al., 1967; Rosenquist and Morrison, 1988)”</w:t>
      </w:r>
    </w:p>
    <w:p w14:paraId="23768772" w14:textId="43EB5372" w:rsidR="006257D9" w:rsidRPr="006257D9" w:rsidRDefault="006257D9" w:rsidP="006257D9"/>
    <w:sectPr w:rsidR="006257D9" w:rsidRPr="00625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">
    <w:altName w:val="Cambria"/>
    <w:panose1 w:val="02040503050201020203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DA"/>
    <w:rsid w:val="006257D9"/>
    <w:rsid w:val="007E7372"/>
    <w:rsid w:val="00CB2ADA"/>
    <w:rsid w:val="00D21C80"/>
    <w:rsid w:val="00E0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9BFC3"/>
  <w15:chartTrackingRefBased/>
  <w15:docId w15:val="{3588F3AF-388C-A04B-A23C-D3FC996C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2A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2023-04-04T12:26:00Z</dcterms:created>
  <dcterms:modified xsi:type="dcterms:W3CDTF">2023-04-04T14:04:00Z</dcterms:modified>
</cp:coreProperties>
</file>