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120F" w14:textId="2AC018EC" w:rsidR="000C6619" w:rsidRDefault="000C6619">
      <w:r>
        <w:t xml:space="preserve"> </w:t>
      </w:r>
    </w:p>
    <w:p w14:paraId="53E0CF41" w14:textId="5BDE370E" w:rsidR="000C6619" w:rsidRDefault="000C6619" w:rsidP="000C6619">
      <w:pPr>
        <w:pStyle w:val="NormaleWeb"/>
        <w:rPr>
          <w:b/>
          <w:bCs/>
        </w:rPr>
      </w:pPr>
    </w:p>
    <w:p w14:paraId="5A644D0D" w14:textId="1E8D7CD0" w:rsidR="00681E89" w:rsidRPr="00125D48" w:rsidRDefault="00681E89" w:rsidP="00DD0B62">
      <w:pPr>
        <w:spacing w:after="100" w:afterAutospacing="1"/>
        <w:outlineLvl w:val="0"/>
        <w:rPr>
          <w:rFonts w:ascii="Arial" w:hAnsi="Arial" w:cs="Arial"/>
          <w:b/>
          <w:bCs/>
          <w:kern w:val="36"/>
          <w:sz w:val="32"/>
          <w:szCs w:val="32"/>
        </w:rPr>
      </w:pPr>
      <w:r w:rsidRPr="00125D48">
        <w:rPr>
          <w:rFonts w:ascii="Arial" w:hAnsi="Arial" w:cs="Arial"/>
          <w:b/>
          <w:bCs/>
          <w:kern w:val="36"/>
          <w:sz w:val="32"/>
          <w:szCs w:val="32"/>
        </w:rPr>
        <w:t>Progetto di Analisi e Revisione (Audit) del Report di Sostenibilità: Caso Ferrero Group</w:t>
      </w:r>
    </w:p>
    <w:p w14:paraId="4A70E0F9" w14:textId="4DFD39F7" w:rsidR="00C26CAA" w:rsidRPr="00F24006" w:rsidRDefault="00C26CAA" w:rsidP="00C26CAA">
      <w:pPr>
        <w:spacing w:after="100" w:afterAutospacing="1"/>
        <w:rPr>
          <w:b/>
          <w:bCs/>
        </w:rPr>
      </w:pPr>
      <w:r w:rsidRPr="00F24006">
        <w:rPr>
          <w:b/>
          <w:bCs/>
        </w:rPr>
        <w:t>1. Membr</w:t>
      </w:r>
      <w:r w:rsidR="006547BA">
        <w:rPr>
          <w:b/>
          <w:bCs/>
        </w:rPr>
        <w:t>o</w:t>
      </w:r>
      <w:r w:rsidRPr="00F24006">
        <w:rPr>
          <w:b/>
          <w:bCs/>
        </w:rPr>
        <w:t xml:space="preserve"> del gruppo :</w:t>
      </w:r>
    </w:p>
    <w:p w14:paraId="67739A8E" w14:textId="3023CDA2" w:rsidR="00C26CAA" w:rsidRPr="00855908" w:rsidRDefault="00160133" w:rsidP="00C26CAA">
      <w:pPr>
        <w:spacing w:after="100" w:afterAutospacing="1"/>
      </w:pPr>
      <w:r w:rsidRPr="00855908">
        <w:t>Melania Bacosi</w:t>
      </w:r>
    </w:p>
    <w:p w14:paraId="58FD1B37" w14:textId="77777777" w:rsidR="00C26CAA" w:rsidRPr="00F24006" w:rsidRDefault="00C26CAA" w:rsidP="00C26CAA">
      <w:pPr>
        <w:spacing w:after="100" w:afterAutospacing="1"/>
        <w:rPr>
          <w:b/>
          <w:bCs/>
        </w:rPr>
      </w:pPr>
      <w:r w:rsidRPr="00F24006">
        <w:rPr>
          <w:b/>
          <w:bCs/>
        </w:rPr>
        <w:t>2. Azienda analizzata:</w:t>
      </w:r>
    </w:p>
    <w:p w14:paraId="22E25137" w14:textId="77777777" w:rsidR="00674B10" w:rsidRPr="00855908" w:rsidRDefault="00C26CAA" w:rsidP="00C26CAA">
      <w:pPr>
        <w:spacing w:after="100" w:afterAutospacing="1"/>
      </w:pPr>
      <w:r w:rsidRPr="00855908">
        <w:t>Ferrero International S.A.</w:t>
      </w:r>
      <w:r w:rsidR="00674B10" w:rsidRPr="00855908">
        <w:t xml:space="preserve"> </w:t>
      </w:r>
    </w:p>
    <w:p w14:paraId="77CE4B15" w14:textId="5C7C2D4A" w:rsidR="00C26CAA" w:rsidRPr="00855908" w:rsidRDefault="00C26CAA" w:rsidP="00C26CAA">
      <w:pPr>
        <w:spacing w:after="100" w:afterAutospacing="1"/>
      </w:pPr>
      <w:r w:rsidRPr="00855908">
        <w:t xml:space="preserve">L’analisi ha preso in esame il </w:t>
      </w:r>
      <w:proofErr w:type="gramStart"/>
      <w:r w:rsidRPr="00855908">
        <w:t>16°</w:t>
      </w:r>
      <w:proofErr w:type="gramEnd"/>
      <w:r w:rsidRPr="00855908">
        <w:t xml:space="preserve"> Rapporto di Sostenibilità (pubblicato a metà 2025 e relativo all'esercizio 2023/2024). Ferrero rappresenta un caso di studio complesso e significativo per il settore alimentare, dove le sfide ambientali si intrecciano con la gestione etica di una supply chain globale.</w:t>
      </w:r>
    </w:p>
    <w:p w14:paraId="402359D1" w14:textId="77777777" w:rsidR="00C26CAA" w:rsidRPr="00855908" w:rsidRDefault="00C26CAA" w:rsidP="00C26CAA">
      <w:pPr>
        <w:spacing w:after="100" w:afterAutospacing="1"/>
      </w:pPr>
      <w:r w:rsidRPr="00F24006">
        <w:rPr>
          <w:b/>
          <w:bCs/>
        </w:rPr>
        <w:t>3. Tipo di audit realizzato</w:t>
      </w:r>
      <w:r w:rsidRPr="00855908">
        <w:t>:</w:t>
      </w:r>
    </w:p>
    <w:p w14:paraId="27398F9A" w14:textId="659996B7" w:rsidR="00C26CAA" w:rsidRPr="00855908" w:rsidRDefault="00C26CAA" w:rsidP="00C26CAA">
      <w:pPr>
        <w:spacing w:after="100" w:afterAutospacing="1"/>
      </w:pPr>
      <w:r w:rsidRPr="00855908">
        <w:t>Il lavoro è impostato come un "Limited Assurance" (Audit limitato). L’obiettivo è valutare la coerenza tra le strategie dichiarate dall'azienda e i risultati quantitativi riportati, verificando l'efficacia dei processi di rendicontazione rispetto ai principi di trasparenza e materialità</w:t>
      </w:r>
    </w:p>
    <w:p w14:paraId="6646D744" w14:textId="77777777" w:rsidR="00C26CAA" w:rsidRPr="00F24006" w:rsidRDefault="00C26CAA" w:rsidP="00C26CAA">
      <w:pPr>
        <w:spacing w:after="100" w:afterAutospacing="1"/>
        <w:rPr>
          <w:b/>
          <w:bCs/>
        </w:rPr>
      </w:pPr>
      <w:r w:rsidRPr="00F24006">
        <w:rPr>
          <w:b/>
          <w:bCs/>
        </w:rPr>
        <w:t>4. Principi seguiti per la revisione:</w:t>
      </w:r>
    </w:p>
    <w:p w14:paraId="46BD411E" w14:textId="77777777" w:rsidR="00C26CAA" w:rsidRPr="00855908" w:rsidRDefault="00C26CAA" w:rsidP="00C26CAA">
      <w:pPr>
        <w:spacing w:after="100" w:afterAutospacing="1"/>
      </w:pPr>
      <w:r w:rsidRPr="00855908">
        <w:t>Per analizzare il report sono stati seguiti i criteri fondamentali previsti dagli standard internazionali:</w:t>
      </w:r>
    </w:p>
    <w:p w14:paraId="6577E793" w14:textId="67D49502" w:rsidR="00C26CAA" w:rsidRPr="00855908" w:rsidRDefault="00C26CAA" w:rsidP="00C26CAA">
      <w:pPr>
        <w:numPr>
          <w:ilvl w:val="0"/>
          <w:numId w:val="21"/>
        </w:numPr>
        <w:spacing w:after="100" w:afterAutospacing="1"/>
      </w:pPr>
      <w:r w:rsidRPr="00855908">
        <w:rPr>
          <w:b/>
          <w:bCs/>
        </w:rPr>
        <w:t>Materialità:</w:t>
      </w:r>
      <w:r w:rsidRPr="00855908">
        <w:t xml:space="preserve"> verifica dell’inserimento delle informazioni realmente significative per gli impatti economici, ambientali e sociali dell'azienda.</w:t>
      </w:r>
    </w:p>
    <w:p w14:paraId="3077D9EF" w14:textId="4E211FFA" w:rsidR="00C26CAA" w:rsidRPr="00855908" w:rsidRDefault="00C26CAA" w:rsidP="00FC4DFB">
      <w:pPr>
        <w:numPr>
          <w:ilvl w:val="0"/>
          <w:numId w:val="21"/>
        </w:numPr>
        <w:spacing w:after="100" w:afterAutospacing="1"/>
      </w:pPr>
      <w:r w:rsidRPr="00855908">
        <w:rPr>
          <w:b/>
          <w:bCs/>
        </w:rPr>
        <w:t>Completezza:</w:t>
      </w:r>
      <w:r w:rsidRPr="00855908">
        <w:t xml:space="preserve"> valutazione della capacità del report di coprire tutti gli aspetti rilevanti della sostenibilità senza trascurare aree critiche della filiera.</w:t>
      </w:r>
    </w:p>
    <w:p w14:paraId="00F079F9" w14:textId="616549BD" w:rsidR="00C26CAA" w:rsidRPr="00855908" w:rsidRDefault="00C26CAA" w:rsidP="00C26CAA">
      <w:pPr>
        <w:numPr>
          <w:ilvl w:val="0"/>
          <w:numId w:val="21"/>
        </w:numPr>
        <w:spacing w:after="100" w:afterAutospacing="1"/>
      </w:pPr>
      <w:r w:rsidRPr="00855908">
        <w:rPr>
          <w:b/>
          <w:bCs/>
        </w:rPr>
        <w:t>Inclusività:</w:t>
      </w:r>
      <w:r w:rsidRPr="00855908">
        <w:t xml:space="preserve"> analisi di come l’azienda ha saputo rispondere alle aspettative dei propri stakeholder di riferimento.</w:t>
      </w:r>
    </w:p>
    <w:p w14:paraId="2483F843" w14:textId="05CAB39A" w:rsidR="00C26CAA" w:rsidRPr="00855908" w:rsidRDefault="00C26CAA" w:rsidP="00C26CAA">
      <w:pPr>
        <w:numPr>
          <w:ilvl w:val="0"/>
          <w:numId w:val="21"/>
        </w:numPr>
        <w:spacing w:after="100" w:afterAutospacing="1"/>
      </w:pPr>
      <w:r w:rsidRPr="00855908">
        <w:rPr>
          <w:b/>
          <w:bCs/>
        </w:rPr>
        <w:t>Accuratezza e Affidabilità:</w:t>
      </w:r>
      <w:r w:rsidRPr="00855908">
        <w:t xml:space="preserve"> verifica della precisione nella raccolta dei dati e della loro verificabilità.</w:t>
      </w:r>
    </w:p>
    <w:p w14:paraId="7D75D854" w14:textId="77777777" w:rsidR="00FC4DFB" w:rsidRPr="00855908" w:rsidRDefault="00FC4DFB" w:rsidP="00FC4DFB">
      <w:pPr>
        <w:spacing w:after="100" w:afterAutospacing="1"/>
      </w:pPr>
      <w:r w:rsidRPr="00855908">
        <w:rPr>
          <w:b/>
          <w:bCs/>
        </w:rPr>
        <w:t>5. Framework e Standard di riferimento:</w:t>
      </w:r>
    </w:p>
    <w:p w14:paraId="2CF8F9E4" w14:textId="77777777" w:rsidR="00FC4DFB" w:rsidRPr="00855908" w:rsidRDefault="00FC4DFB" w:rsidP="00FC4DFB">
      <w:pPr>
        <w:numPr>
          <w:ilvl w:val="0"/>
          <w:numId w:val="21"/>
        </w:numPr>
        <w:spacing w:after="100" w:afterAutospacing="1"/>
      </w:pPr>
      <w:r w:rsidRPr="00855908">
        <w:rPr>
          <w:b/>
          <w:bCs/>
        </w:rPr>
        <w:t xml:space="preserve">GRI Standards (Global Reporting </w:t>
      </w:r>
      <w:proofErr w:type="spellStart"/>
      <w:r w:rsidRPr="00855908">
        <w:rPr>
          <w:b/>
          <w:bCs/>
        </w:rPr>
        <w:t>Initiative</w:t>
      </w:r>
      <w:proofErr w:type="spellEnd"/>
      <w:r w:rsidRPr="00855908">
        <w:rPr>
          <w:b/>
          <w:bCs/>
        </w:rPr>
        <w:t>):</w:t>
      </w:r>
      <w:r w:rsidRPr="00855908">
        <w:t xml:space="preserve"> standard internazionale utilizzato per la struttura del report.</w:t>
      </w:r>
    </w:p>
    <w:p w14:paraId="66975E8B" w14:textId="77777777" w:rsidR="00FC4DFB" w:rsidRPr="00855908" w:rsidRDefault="00FC4DFB" w:rsidP="00FC4DFB">
      <w:pPr>
        <w:numPr>
          <w:ilvl w:val="0"/>
          <w:numId w:val="21"/>
        </w:numPr>
        <w:spacing w:after="100" w:afterAutospacing="1"/>
      </w:pPr>
      <w:r w:rsidRPr="00855908">
        <w:rPr>
          <w:b/>
          <w:bCs/>
        </w:rPr>
        <w:t>SASB (</w:t>
      </w:r>
      <w:proofErr w:type="spellStart"/>
      <w:r w:rsidRPr="00855908">
        <w:rPr>
          <w:b/>
          <w:bCs/>
        </w:rPr>
        <w:t>Sustainability</w:t>
      </w:r>
      <w:proofErr w:type="spellEnd"/>
      <w:r w:rsidRPr="00855908">
        <w:rPr>
          <w:b/>
          <w:bCs/>
        </w:rPr>
        <w:t xml:space="preserve"> Accounting Standards Board):</w:t>
      </w:r>
      <w:r w:rsidRPr="00855908">
        <w:t xml:space="preserve"> per la rendicontazione specifica del settore "</w:t>
      </w:r>
      <w:proofErr w:type="spellStart"/>
      <w:r w:rsidRPr="00855908">
        <w:t>Processed</w:t>
      </w:r>
      <w:proofErr w:type="spellEnd"/>
      <w:r w:rsidRPr="00855908">
        <w:t xml:space="preserve"> Foods".</w:t>
      </w:r>
    </w:p>
    <w:p w14:paraId="5812D59C" w14:textId="77777777" w:rsidR="00FC4DFB" w:rsidRPr="00855908" w:rsidRDefault="00FC4DFB" w:rsidP="00FC4DFB">
      <w:pPr>
        <w:numPr>
          <w:ilvl w:val="0"/>
          <w:numId w:val="21"/>
        </w:numPr>
        <w:spacing w:after="100" w:afterAutospacing="1"/>
      </w:pPr>
      <w:proofErr w:type="spellStart"/>
      <w:r w:rsidRPr="00855908">
        <w:rPr>
          <w:b/>
          <w:bCs/>
        </w:rPr>
        <w:t>SDGs</w:t>
      </w:r>
      <w:proofErr w:type="spellEnd"/>
      <w:r w:rsidRPr="00855908">
        <w:rPr>
          <w:b/>
          <w:bCs/>
        </w:rPr>
        <w:t xml:space="preserve"> (</w:t>
      </w:r>
      <w:proofErr w:type="spellStart"/>
      <w:r w:rsidRPr="00855908">
        <w:rPr>
          <w:b/>
          <w:bCs/>
        </w:rPr>
        <w:t>Sustainable</w:t>
      </w:r>
      <w:proofErr w:type="spellEnd"/>
      <w:r w:rsidRPr="00855908">
        <w:rPr>
          <w:b/>
          <w:bCs/>
        </w:rPr>
        <w:t xml:space="preserve"> Development Goals):</w:t>
      </w:r>
      <w:r w:rsidRPr="00855908">
        <w:t xml:space="preserve"> mappatura dei contributi aziendali agli obiettivi ONU 2030.</w:t>
      </w:r>
    </w:p>
    <w:p w14:paraId="6C433AA0" w14:textId="69CD58D3" w:rsidR="00C26CAA" w:rsidRPr="00855908" w:rsidRDefault="00C26CAA" w:rsidP="00C26CAA"/>
    <w:p w14:paraId="03305A18" w14:textId="77777777" w:rsidR="00125D48" w:rsidRDefault="00125D48" w:rsidP="00C26CAA">
      <w:pPr>
        <w:spacing w:after="100" w:afterAutospacing="1"/>
        <w:outlineLvl w:val="2"/>
        <w:rPr>
          <w:b/>
          <w:bCs/>
        </w:rPr>
      </w:pPr>
    </w:p>
    <w:p w14:paraId="6A2D0EB9" w14:textId="3C758306" w:rsidR="00C26CAA" w:rsidRPr="00855908" w:rsidRDefault="00C26CAA" w:rsidP="00C26CAA">
      <w:pPr>
        <w:spacing w:after="100" w:afterAutospacing="1"/>
        <w:outlineLvl w:val="2"/>
        <w:rPr>
          <w:b/>
          <w:bCs/>
        </w:rPr>
      </w:pPr>
      <w:r w:rsidRPr="00855908">
        <w:rPr>
          <w:b/>
          <w:bCs/>
        </w:rPr>
        <w:lastRenderedPageBreak/>
        <w:t>ANALISI DI COERENZA E RISULTATI DELL'AUDIT</w:t>
      </w:r>
    </w:p>
    <w:p w14:paraId="5D9AC01F" w14:textId="77777777" w:rsidR="00C26CAA" w:rsidRPr="00855908" w:rsidRDefault="00C26CAA" w:rsidP="00C26CAA">
      <w:pPr>
        <w:spacing w:after="100" w:afterAutospacing="1"/>
        <w:outlineLvl w:val="3"/>
        <w:rPr>
          <w:b/>
          <w:bCs/>
        </w:rPr>
      </w:pPr>
      <w:r w:rsidRPr="00855908">
        <w:rPr>
          <w:b/>
          <w:bCs/>
        </w:rPr>
        <w:t>Valutazione dell’Approccio Strategico alla Sostenibilità</w:t>
      </w:r>
    </w:p>
    <w:p w14:paraId="14C95B34" w14:textId="77777777" w:rsidR="00C26CAA" w:rsidRPr="00855908" w:rsidRDefault="00C26CAA" w:rsidP="00C26CAA">
      <w:pPr>
        <w:spacing w:after="100" w:afterAutospacing="1"/>
      </w:pPr>
      <w:r w:rsidRPr="00855908">
        <w:t xml:space="preserve">Dall’analisi emerge che l’azienda adotta un modello di responsabilità sociale di tipo </w:t>
      </w:r>
      <w:r w:rsidRPr="00855908">
        <w:rPr>
          <w:b/>
          <w:bCs/>
        </w:rPr>
        <w:t>integrato e coesivo</w:t>
      </w:r>
      <w:r w:rsidRPr="00855908">
        <w:t>. La sostenibilità non è gestita come un’attività isolata o puramente d'immagine, ma è incorporata nella strategia competitiva. L’approccio "Creare valore condiviso" dimostra come gli investimenti nelle comunità locali e nella resilienza agricola siano funzionali alla stabilità stessa del business, garantendo la continuità qualitativa delle forniture (cacao e nocciole) e riducendo i rischi reputazionali e operativi.</w:t>
      </w:r>
    </w:p>
    <w:p w14:paraId="0BBC89A0" w14:textId="77777777" w:rsidR="00C26CAA" w:rsidRPr="00855908" w:rsidRDefault="00C26CAA" w:rsidP="00C26CAA">
      <w:pPr>
        <w:spacing w:after="100" w:afterAutospacing="1"/>
        <w:outlineLvl w:val="3"/>
        <w:rPr>
          <w:b/>
          <w:bCs/>
        </w:rPr>
      </w:pPr>
      <w:r w:rsidRPr="00855908">
        <w:rPr>
          <w:b/>
          <w:bCs/>
        </w:rPr>
        <w:t xml:space="preserve">Analisi dello Stakeholder </w:t>
      </w:r>
      <w:proofErr w:type="spellStart"/>
      <w:r w:rsidRPr="00855908">
        <w:rPr>
          <w:b/>
          <w:bCs/>
        </w:rPr>
        <w:t>Journey</w:t>
      </w:r>
      <w:proofErr w:type="spellEnd"/>
      <w:r w:rsidRPr="00855908">
        <w:rPr>
          <w:b/>
          <w:bCs/>
        </w:rPr>
        <w:t xml:space="preserve"> e della Disclosure</w:t>
      </w:r>
    </w:p>
    <w:p w14:paraId="5AF86749" w14:textId="77777777" w:rsidR="00C26CAA" w:rsidRPr="00855908" w:rsidRDefault="00C26CAA" w:rsidP="00C26CAA">
      <w:pPr>
        <w:spacing w:after="100" w:afterAutospacing="1"/>
      </w:pPr>
      <w:r w:rsidRPr="00855908">
        <w:t>L'audit ha valutato l'efficacia dei processi di coinvolgimento dei portatori d'interesse:</w:t>
      </w:r>
    </w:p>
    <w:p w14:paraId="069F4326" w14:textId="703B69D0" w:rsidR="00C26CAA" w:rsidRPr="00855908" w:rsidRDefault="00C26CAA" w:rsidP="00C26CAA">
      <w:pPr>
        <w:numPr>
          <w:ilvl w:val="0"/>
          <w:numId w:val="22"/>
        </w:numPr>
        <w:spacing w:after="100" w:afterAutospacing="1"/>
      </w:pPr>
      <w:r w:rsidRPr="00855908">
        <w:rPr>
          <w:b/>
          <w:bCs/>
        </w:rPr>
        <w:t>Approccio alla Disclosure:</w:t>
      </w:r>
      <w:r w:rsidRPr="00855908">
        <w:t xml:space="preserve"> Per quanto riguarda il modo di comunicare, il report 2024/25 cerca di essere molto trasparente. Non è solo un elenco di dati tecnici, ma cerca di spiegare i processi in modo chiaro. </w:t>
      </w:r>
    </w:p>
    <w:p w14:paraId="26DFC44D" w14:textId="428D5443" w:rsidR="00C26CAA" w:rsidRPr="00855908" w:rsidRDefault="00C26CAA" w:rsidP="00674B10">
      <w:pPr>
        <w:numPr>
          <w:ilvl w:val="0"/>
          <w:numId w:val="22"/>
        </w:numPr>
        <w:spacing w:after="100" w:afterAutospacing="1"/>
      </w:pPr>
      <w:r w:rsidRPr="00855908">
        <w:rPr>
          <w:b/>
          <w:bCs/>
        </w:rPr>
        <w:t>Efficacia del Coinvolgimento:</w:t>
      </w:r>
      <w:r w:rsidRPr="00855908">
        <w:t xml:space="preserve"> Si rileva un passaggio da un ascolto passivo a una collaborazione </w:t>
      </w:r>
      <w:r w:rsidR="00674B10" w:rsidRPr="00855908">
        <w:t xml:space="preserve">come dimostrato dalle partnership con ONG per il monitoraggio del lavoro minorile. Questo tipo di comunicazione aiuta a costruire un rapporto di fiducia reale con chi legge il </w:t>
      </w:r>
      <w:r w:rsidR="00125D48" w:rsidRPr="00855908">
        <w:t>bilancio.</w:t>
      </w:r>
    </w:p>
    <w:p w14:paraId="717A79FD" w14:textId="2ABA7C64" w:rsidR="00C26CAA" w:rsidRPr="00855908" w:rsidRDefault="00C26CAA" w:rsidP="00C26CAA"/>
    <w:p w14:paraId="02A6CBB6" w14:textId="77777777" w:rsidR="00C26CAA" w:rsidRPr="00855908" w:rsidRDefault="00C26CAA" w:rsidP="00C26CAA">
      <w:pPr>
        <w:spacing w:after="100" w:afterAutospacing="1"/>
        <w:outlineLvl w:val="2"/>
        <w:rPr>
          <w:b/>
          <w:bCs/>
        </w:rPr>
      </w:pPr>
      <w:r w:rsidRPr="00855908">
        <w:rPr>
          <w:b/>
          <w:bCs/>
        </w:rPr>
        <w:t>SINTESI DEGLI INDICATORI DI PERFORMANCE (KPI 2024) OGGETTO DI AUDIT</w:t>
      </w:r>
    </w:p>
    <w:p w14:paraId="53E1AEB4" w14:textId="77777777" w:rsidR="00C26CAA" w:rsidRPr="00855908" w:rsidRDefault="00C26CAA" w:rsidP="00C26CAA">
      <w:pPr>
        <w:spacing w:after="100" w:afterAutospacing="1"/>
      </w:pPr>
      <w:r w:rsidRPr="00855908">
        <w:t>Nella tabella seguente sono riportati i dati salienti revisionati durante l'analisi: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"/>
        <w:gridCol w:w="2880"/>
        <w:gridCol w:w="1834"/>
        <w:gridCol w:w="3736"/>
      </w:tblGrid>
      <w:tr w:rsidR="00C26CAA" w:rsidRPr="00855908" w14:paraId="77FD285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801F8" w14:textId="77777777" w:rsidR="00C26CAA" w:rsidRPr="00855908" w:rsidRDefault="00C26CAA" w:rsidP="00C26CAA">
            <w:r w:rsidRPr="00855908">
              <w:rPr>
                <w:b/>
                <w:bCs/>
              </w:rPr>
              <w:t>AREA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031A8" w14:textId="77777777" w:rsidR="00C26CAA" w:rsidRPr="00855908" w:rsidRDefault="00C26CAA" w:rsidP="00C26CAA">
            <w:r w:rsidRPr="00855908">
              <w:rPr>
                <w:b/>
                <w:bCs/>
              </w:rPr>
              <w:t>INDICATORE (KPI)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DB419" w14:textId="77777777" w:rsidR="00C26CAA" w:rsidRPr="00855908" w:rsidRDefault="00C26CAA" w:rsidP="00C26CAA">
            <w:r w:rsidRPr="00855908">
              <w:rPr>
                <w:b/>
                <w:bCs/>
              </w:rPr>
              <w:t>RISULTATO 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31A84" w14:textId="77777777" w:rsidR="00C26CAA" w:rsidRPr="00855908" w:rsidRDefault="00C26CAA" w:rsidP="00C26CAA">
            <w:r w:rsidRPr="00855908">
              <w:rPr>
                <w:b/>
                <w:bCs/>
              </w:rPr>
              <w:t>COMMENTO DEL REVISORE</w:t>
            </w:r>
          </w:p>
        </w:tc>
      </w:tr>
      <w:tr w:rsidR="00C26CAA" w:rsidRPr="00855908" w14:paraId="499DF8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0C0FC" w14:textId="77777777" w:rsidR="00C26CAA" w:rsidRPr="00855908" w:rsidRDefault="00C26CAA" w:rsidP="00C26CAA">
            <w:r w:rsidRPr="00855908">
              <w:rPr>
                <w:b/>
                <w:bCs/>
              </w:rPr>
              <w:t>Ambiente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4C4E" w14:textId="77777777" w:rsidR="00C26CAA" w:rsidRPr="00855908" w:rsidRDefault="00C26CAA" w:rsidP="00C26CAA">
            <w:r w:rsidRPr="00855908">
              <w:t>Taglio emissioni CO2 (Scope 1 e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40E20" w14:textId="77777777" w:rsidR="00C26CAA" w:rsidRPr="00855908" w:rsidRDefault="00C26CAA" w:rsidP="00C26CAA">
            <w:r w:rsidRPr="00855908">
              <w:rPr>
                <w:b/>
                <w:bCs/>
              </w:rPr>
              <w:t>-21,7%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EA788" w14:textId="77777777" w:rsidR="00C26CAA" w:rsidRPr="00855908" w:rsidRDefault="00C26CAA" w:rsidP="00C26CAA">
            <w:r w:rsidRPr="00855908">
              <w:t>Risultato solido rispetto agli anni passati.</w:t>
            </w:r>
          </w:p>
        </w:tc>
      </w:tr>
      <w:tr w:rsidR="00C26CAA" w:rsidRPr="00855908" w14:paraId="1FB75D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B9164" w14:textId="77777777" w:rsidR="00C26CAA" w:rsidRPr="00855908" w:rsidRDefault="00C26CAA" w:rsidP="00C26CAA">
            <w:r w:rsidRPr="00855908">
              <w:rPr>
                <w:b/>
                <w:bCs/>
              </w:rPr>
              <w:t>Packaging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586FE" w14:textId="77777777" w:rsidR="00C26CAA" w:rsidRPr="00855908" w:rsidRDefault="00C26CAA" w:rsidP="00C26CAA">
            <w:r w:rsidRPr="00855908">
              <w:t>Imballaggi riciclabili o riutilizzabili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873B2" w14:textId="77777777" w:rsidR="00C26CAA" w:rsidRPr="00855908" w:rsidRDefault="00C26CAA" w:rsidP="00C26CAA">
            <w:r w:rsidRPr="00855908">
              <w:rPr>
                <w:b/>
                <w:bCs/>
              </w:rPr>
              <w:t>92,1%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B610F" w14:textId="77777777" w:rsidR="00C26CAA" w:rsidRPr="00855908" w:rsidRDefault="00C26CAA" w:rsidP="00C26CAA">
            <w:r w:rsidRPr="00855908">
              <w:t>In linea con l'obiettivo di arrivare al 100%.</w:t>
            </w:r>
          </w:p>
        </w:tc>
      </w:tr>
      <w:tr w:rsidR="00C26CAA" w:rsidRPr="00855908" w14:paraId="15B352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5999F" w14:textId="77777777" w:rsidR="00C26CAA" w:rsidRPr="00855908" w:rsidRDefault="00C26CAA" w:rsidP="00C26CAA">
            <w:r w:rsidRPr="00855908">
              <w:rPr>
                <w:b/>
                <w:bCs/>
              </w:rPr>
              <w:t>Filiera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34C0A" w14:textId="77777777" w:rsidR="00C26CAA" w:rsidRPr="00855908" w:rsidRDefault="00C26CAA" w:rsidP="00C26CAA">
            <w:r w:rsidRPr="00855908">
              <w:t>Cacao tracciato e certificato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90F53" w14:textId="77777777" w:rsidR="00C26CAA" w:rsidRPr="00855908" w:rsidRDefault="00C26CAA" w:rsidP="00C26CAA">
            <w:r w:rsidRPr="00855908">
              <w:rPr>
                <w:b/>
                <w:bCs/>
              </w:rPr>
              <w:t>100%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DA803" w14:textId="77777777" w:rsidR="00C26CAA" w:rsidRPr="00855908" w:rsidRDefault="00C26CAA" w:rsidP="00C26CAA">
            <w:r w:rsidRPr="00855908">
              <w:t>Uno dei punti di forza del report.</w:t>
            </w:r>
          </w:p>
        </w:tc>
      </w:tr>
      <w:tr w:rsidR="00C26CAA" w:rsidRPr="00855908" w14:paraId="57BCB1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3A4EC" w14:textId="77777777" w:rsidR="00C26CAA" w:rsidRPr="00855908" w:rsidRDefault="00C26CAA" w:rsidP="00C26CAA">
            <w:r w:rsidRPr="00855908">
              <w:rPr>
                <w:b/>
                <w:bCs/>
              </w:rPr>
              <w:t>Filiera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AA3C9" w14:textId="77777777" w:rsidR="00C26CAA" w:rsidRPr="00855908" w:rsidRDefault="00C26CAA" w:rsidP="00C26CAA">
            <w:r w:rsidRPr="00855908">
              <w:t xml:space="preserve">Nocciole tracciate (farming </w:t>
            </w:r>
            <w:proofErr w:type="spellStart"/>
            <w:r w:rsidRPr="00855908">
              <w:t>values</w:t>
            </w:r>
            <w:proofErr w:type="spellEnd"/>
            <w:r w:rsidRPr="00855908"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2A3CC0" w14:textId="77777777" w:rsidR="00C26CAA" w:rsidRPr="00855908" w:rsidRDefault="00C26CAA" w:rsidP="00C26CAA">
            <w:r w:rsidRPr="00855908">
              <w:rPr>
                <w:b/>
                <w:bCs/>
              </w:rPr>
              <w:t>94%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94659" w14:textId="77777777" w:rsidR="00C26CAA" w:rsidRPr="00855908" w:rsidRDefault="00C26CAA" w:rsidP="00C26CAA">
            <w:r w:rsidRPr="00855908">
              <w:t>Dato in forte crescita, quasi a target.</w:t>
            </w:r>
          </w:p>
        </w:tc>
      </w:tr>
      <w:tr w:rsidR="00C26CAA" w:rsidRPr="00855908" w14:paraId="685404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DEDD8" w14:textId="77777777" w:rsidR="00C26CAA" w:rsidRPr="00855908" w:rsidRDefault="00C26CAA" w:rsidP="00C26CAA">
            <w:r w:rsidRPr="00855908">
              <w:rPr>
                <w:b/>
                <w:bCs/>
              </w:rPr>
              <w:t>Sociale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A78A5" w14:textId="77777777" w:rsidR="00C26CAA" w:rsidRPr="00855908" w:rsidRDefault="00C26CAA" w:rsidP="00C26CAA">
            <w:r w:rsidRPr="00855908">
              <w:t>Donne in ruoli di leadership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3317A" w14:textId="77777777" w:rsidR="00C26CAA" w:rsidRPr="00855908" w:rsidRDefault="00C26CAA" w:rsidP="00C26CAA">
            <w:r w:rsidRPr="00855908">
              <w:rPr>
                <w:b/>
                <w:bCs/>
              </w:rPr>
              <w:t>26%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DDF7F" w14:textId="77777777" w:rsidR="00C26CAA" w:rsidRPr="00855908" w:rsidRDefault="00C26CAA" w:rsidP="00C26CAA">
            <w:r w:rsidRPr="00855908">
              <w:t>C'è un miglioramento, anche se il percorso è lungo.</w:t>
            </w:r>
          </w:p>
        </w:tc>
      </w:tr>
      <w:tr w:rsidR="00C26CAA" w:rsidRPr="00855908" w14:paraId="0A4DAA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125FD" w14:textId="77777777" w:rsidR="00C26CAA" w:rsidRPr="00855908" w:rsidRDefault="00C26CAA" w:rsidP="00C26CAA">
            <w:r w:rsidRPr="00855908">
              <w:rPr>
                <w:b/>
                <w:bCs/>
              </w:rPr>
              <w:t>Sociale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5B54E5" w14:textId="77777777" w:rsidR="00C26CAA" w:rsidRPr="00855908" w:rsidRDefault="00C26CAA" w:rsidP="00C26CAA">
            <w:r w:rsidRPr="00855908">
              <w:t>Bambini raggiunti da attività motorie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4A3F1" w14:textId="77777777" w:rsidR="00C26CAA" w:rsidRPr="00855908" w:rsidRDefault="00C26CAA" w:rsidP="00C26CAA">
            <w:r w:rsidRPr="00855908">
              <w:rPr>
                <w:b/>
                <w:bCs/>
              </w:rPr>
              <w:t>3,7 mln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22AB9" w14:textId="77777777" w:rsidR="00C26CAA" w:rsidRPr="00855908" w:rsidRDefault="00C26CAA" w:rsidP="00C26CAA">
            <w:r w:rsidRPr="00855908">
              <w:t>Impatto sociale concreto e verificabile sul territorio.</w:t>
            </w:r>
          </w:p>
        </w:tc>
      </w:tr>
    </w:tbl>
    <w:p w14:paraId="608C88BF" w14:textId="2688D460" w:rsidR="00C26CAA" w:rsidRDefault="00C26CAA" w:rsidP="00C26CAA"/>
    <w:p w14:paraId="700D07FA" w14:textId="77777777" w:rsidR="00DD0B62" w:rsidRDefault="00DD0B62" w:rsidP="00C26CAA"/>
    <w:p w14:paraId="05051EB2" w14:textId="77777777" w:rsidR="00DD0B62" w:rsidRDefault="00DD0B62" w:rsidP="00C26CAA"/>
    <w:p w14:paraId="6AED2332" w14:textId="77777777" w:rsidR="00DD0B62" w:rsidRPr="00855908" w:rsidRDefault="00DD0B62" w:rsidP="00C26CAA"/>
    <w:p w14:paraId="581909EF" w14:textId="77777777" w:rsidR="00FC6A2D" w:rsidRDefault="00FC6A2D" w:rsidP="00C26CAA">
      <w:pPr>
        <w:spacing w:after="100" w:afterAutospacing="1"/>
        <w:outlineLvl w:val="2"/>
        <w:rPr>
          <w:b/>
          <w:bCs/>
        </w:rPr>
      </w:pPr>
    </w:p>
    <w:p w14:paraId="150C4B09" w14:textId="77777777" w:rsidR="00FC6A2D" w:rsidRDefault="00FC6A2D" w:rsidP="00C26CAA">
      <w:pPr>
        <w:spacing w:after="100" w:afterAutospacing="1"/>
        <w:outlineLvl w:val="2"/>
        <w:rPr>
          <w:b/>
          <w:bCs/>
        </w:rPr>
      </w:pPr>
    </w:p>
    <w:p w14:paraId="0A66E99F" w14:textId="539EFAE7" w:rsidR="00C26CAA" w:rsidRPr="00855908" w:rsidRDefault="00C26CAA" w:rsidP="00C26CAA">
      <w:pPr>
        <w:spacing w:after="100" w:afterAutospacing="1"/>
        <w:outlineLvl w:val="2"/>
        <w:rPr>
          <w:b/>
          <w:bCs/>
        </w:rPr>
      </w:pPr>
      <w:r w:rsidRPr="00855908">
        <w:rPr>
          <w:b/>
          <w:bCs/>
        </w:rPr>
        <w:lastRenderedPageBreak/>
        <w:t>CONCLUSIONI E GIUDIZIO DEL REVISORE</w:t>
      </w:r>
    </w:p>
    <w:p w14:paraId="291D3142" w14:textId="2A389509" w:rsidR="00C26CAA" w:rsidRPr="00855908" w:rsidRDefault="00C26CAA" w:rsidP="00C26CAA">
      <w:pPr>
        <w:spacing w:after="100" w:afterAutospacing="1"/>
      </w:pPr>
      <w:r w:rsidRPr="00855908">
        <w:t xml:space="preserve">Al termine di questa attività di audit sul </w:t>
      </w:r>
      <w:proofErr w:type="gramStart"/>
      <w:r w:rsidRPr="00855908">
        <w:rPr>
          <w:b/>
          <w:bCs/>
        </w:rPr>
        <w:t>16°</w:t>
      </w:r>
      <w:proofErr w:type="gramEnd"/>
      <w:r w:rsidRPr="00855908">
        <w:rPr>
          <w:b/>
          <w:bCs/>
        </w:rPr>
        <w:t xml:space="preserve"> Rapporto di Sostenibilità</w:t>
      </w:r>
      <w:r w:rsidRPr="00855908">
        <w:t xml:space="preserve">, il giudizio complessivo è positivo. Il documento presenta un elevato grado di </w:t>
      </w:r>
      <w:r w:rsidRPr="00855908">
        <w:rPr>
          <w:b/>
          <w:bCs/>
        </w:rPr>
        <w:t>coerenza e trasparenza</w:t>
      </w:r>
      <w:r w:rsidRPr="00855908">
        <w:t>.</w:t>
      </w:r>
    </w:p>
    <w:p w14:paraId="5FF7892A" w14:textId="77777777" w:rsidR="00C26CAA" w:rsidRPr="00855908" w:rsidRDefault="00C26CAA" w:rsidP="00C26CAA">
      <w:pPr>
        <w:spacing w:after="100" w:afterAutospacing="1"/>
      </w:pPr>
      <w:r w:rsidRPr="00855908">
        <w:t>Particolarmente rilevante è la nuova metodologia di calcolo delle emissioni legata all'uso del suolo e all'agricoltura (</w:t>
      </w:r>
      <w:r w:rsidRPr="00855908">
        <w:rPr>
          <w:b/>
          <w:bCs/>
        </w:rPr>
        <w:t>emissioni FLAG</w:t>
      </w:r>
      <w:r w:rsidRPr="00855908">
        <w:t xml:space="preserve">), che denota un impegno verso una rendicontazione scientificamente avanzata. Questo approccio permette una misurazione più accurata degli impatti ambientali direttamente legati alla produzione agricola, dimostrando un'attenzione particolare verso la </w:t>
      </w:r>
      <w:r w:rsidRPr="00855908">
        <w:rPr>
          <w:b/>
          <w:bCs/>
        </w:rPr>
        <w:t>biodiversità</w:t>
      </w:r>
      <w:r w:rsidRPr="00855908">
        <w:t>.</w:t>
      </w:r>
    </w:p>
    <w:p w14:paraId="62FA29FA" w14:textId="3CC16E39" w:rsidR="00674B10" w:rsidRPr="00855908" w:rsidRDefault="00C26CAA" w:rsidP="00674B10">
      <w:pPr>
        <w:pStyle w:val="NormaleWeb"/>
      </w:pPr>
      <w:r w:rsidRPr="00855908">
        <w:t xml:space="preserve">In conclusione, il bilancio di Ferrero risulta </w:t>
      </w:r>
      <w:r w:rsidRPr="00855908">
        <w:rPr>
          <w:b/>
          <w:bCs/>
        </w:rPr>
        <w:t>attendibile e ben strutturato</w:t>
      </w:r>
      <w:r w:rsidRPr="00855908">
        <w:t xml:space="preserve">. L'impresa si pone come un significativo esempio per il suo settore di </w:t>
      </w:r>
      <w:r w:rsidR="00855908" w:rsidRPr="00855908">
        <w:t>riferimento,</w:t>
      </w:r>
      <w:r w:rsidRPr="00855908">
        <w:t xml:space="preserve"> monitorando attentamente variabili che impattano concretamente attraverso KPI adeguati. </w:t>
      </w:r>
      <w:r w:rsidR="00674B10" w:rsidRPr="00855908">
        <w:rPr>
          <w:rStyle w:val="citation-124"/>
          <w:rFonts w:eastAsiaTheme="majorEastAsia"/>
        </w:rPr>
        <w:t xml:space="preserve">Come approfondimento è stato consultato l'articolo di </w:t>
      </w:r>
      <w:r w:rsidR="00674B10" w:rsidRPr="00855908">
        <w:rPr>
          <w:rStyle w:val="citation-124"/>
          <w:rFonts w:eastAsiaTheme="majorEastAsia"/>
          <w:b/>
          <w:bCs/>
        </w:rPr>
        <w:t>Mancini e Sala (2018)</w:t>
      </w:r>
      <w:r w:rsidR="00674B10" w:rsidRPr="00855908">
        <w:rPr>
          <w:rStyle w:val="citation-124"/>
          <w:rFonts w:eastAsiaTheme="majorEastAsia"/>
        </w:rPr>
        <w:t>, fondamentale per valutare la gestione dei rischi sociali nelle catene di approvvigionamento globali</w:t>
      </w:r>
      <w:r w:rsidR="00674B10" w:rsidRPr="00855908">
        <w:t xml:space="preserve">. Questo studio si collega perfettamente al caso Ferrero perché sottolinea come, in filiere complesse, la semplice certificazione non basti: serve una </w:t>
      </w:r>
      <w:r w:rsidR="00674B10" w:rsidRPr="00855908">
        <w:rPr>
          <w:b/>
          <w:bCs/>
        </w:rPr>
        <w:t>tracciabilità granulare</w:t>
      </w:r>
      <w:r w:rsidR="00674B10" w:rsidRPr="00855908">
        <w:t xml:space="preserve"> per prevenire violazioni dei diritti umani. Ferrero applica concretamente le soluzioni suggerite da Mancini e Sala attraverso:</w:t>
      </w:r>
    </w:p>
    <w:p w14:paraId="3D23AAEE" w14:textId="27C49977" w:rsidR="00F24006" w:rsidRDefault="00F24006" w:rsidP="00F24006">
      <w:pPr>
        <w:pStyle w:val="NormaleWeb"/>
        <w:spacing w:before="0" w:beforeAutospacing="0"/>
        <w:ind w:left="360"/>
      </w:pPr>
      <w:r>
        <w:rPr>
          <w:rStyle w:val="citation-123"/>
          <w:rFonts w:eastAsiaTheme="majorEastAsia"/>
          <w:b/>
          <w:bCs/>
        </w:rPr>
        <w:t xml:space="preserve">1. </w:t>
      </w:r>
      <w:r w:rsidR="00674B10" w:rsidRPr="00855908">
        <w:rPr>
          <w:rStyle w:val="citation-123"/>
          <w:rFonts w:eastAsiaTheme="majorEastAsia"/>
          <w:b/>
          <w:bCs/>
        </w:rPr>
        <w:t>Tracciabilità completa:</w:t>
      </w:r>
      <w:r w:rsidR="00674B10" w:rsidRPr="00855908">
        <w:rPr>
          <w:rStyle w:val="citation-123"/>
          <w:rFonts w:eastAsiaTheme="majorEastAsia"/>
        </w:rPr>
        <w:t xml:space="preserve"> sapere esattamente da dove provengono le materie prime (100% cacao, 94% nocciole) per monitorare i rischi sul campo</w:t>
      </w:r>
      <w:r w:rsidR="00674B10" w:rsidRPr="00855908">
        <w:t>.</w:t>
      </w:r>
      <w:r>
        <w:t xml:space="preserve"> </w:t>
      </w:r>
    </w:p>
    <w:p w14:paraId="064DCBF4" w14:textId="17E78421" w:rsidR="00674B10" w:rsidRPr="00855908" w:rsidRDefault="00F24006" w:rsidP="00F24006">
      <w:pPr>
        <w:pStyle w:val="NormaleWeb"/>
        <w:spacing w:before="0" w:beforeAutospacing="0"/>
        <w:ind w:left="360"/>
      </w:pPr>
      <w:r>
        <w:rPr>
          <w:rStyle w:val="citation-122"/>
          <w:rFonts w:eastAsiaTheme="majorEastAsia"/>
          <w:b/>
          <w:bCs/>
        </w:rPr>
        <w:t xml:space="preserve">2. </w:t>
      </w:r>
      <w:r w:rsidR="00674B10" w:rsidRPr="00855908">
        <w:rPr>
          <w:rStyle w:val="citation-122"/>
          <w:rFonts w:eastAsiaTheme="majorEastAsia"/>
          <w:b/>
          <w:bCs/>
        </w:rPr>
        <w:t>Monitoraggio attivo:</w:t>
      </w:r>
      <w:r w:rsidR="00674B10" w:rsidRPr="00855908">
        <w:rPr>
          <w:rStyle w:val="citation-122"/>
          <w:rFonts w:eastAsiaTheme="majorEastAsia"/>
        </w:rPr>
        <w:t xml:space="preserve"> la collaborazione con organizzazioni internazionali permette a Ferrero di passare da una verifica formale a un impatto sociale reale, riducendo le criticità tipiche delle filiere agricole globali evidenziate dagli autori</w:t>
      </w:r>
      <w:r w:rsidR="00674B10" w:rsidRPr="00855908">
        <w:t>.</w:t>
      </w:r>
    </w:p>
    <w:p w14:paraId="21E8B43F" w14:textId="77777777" w:rsidR="00674B10" w:rsidRPr="00855908" w:rsidRDefault="00674B10" w:rsidP="00674B10">
      <w:pPr>
        <w:pStyle w:val="NormaleWeb"/>
      </w:pPr>
      <w:r w:rsidRPr="00855908">
        <w:rPr>
          <w:rStyle w:val="citation-121"/>
          <w:rFonts w:eastAsiaTheme="majorEastAsia"/>
        </w:rPr>
        <w:t>In conclusione, Ferrero si pone come un ottimo esempio di come una grande impresa possa monitorare e rendicontare il proprio impatto in modo serio e verificabile</w:t>
      </w:r>
      <w:r w:rsidRPr="00855908">
        <w:t>.</w:t>
      </w:r>
    </w:p>
    <w:p w14:paraId="36560872" w14:textId="77579C24" w:rsidR="00C26CAA" w:rsidRPr="00855908" w:rsidRDefault="00C26CAA" w:rsidP="00C26CAA">
      <w:pPr>
        <w:spacing w:after="100" w:afterAutospacing="1"/>
      </w:pPr>
    </w:p>
    <w:p w14:paraId="0ECD675C" w14:textId="0E22ABC9" w:rsidR="00674B10" w:rsidRPr="00855908" w:rsidRDefault="00674B10" w:rsidP="00C26CAA">
      <w:pPr>
        <w:spacing w:after="100" w:afterAutospacing="1"/>
      </w:pPr>
      <w:r w:rsidRPr="00855908">
        <w:rPr>
          <w:b/>
          <w:bCs/>
        </w:rPr>
        <w:t>Mancini, L., &amp; Sala, S. (2018).</w:t>
      </w:r>
      <w:r w:rsidRPr="00855908">
        <w:t xml:space="preserve"> </w:t>
      </w:r>
      <w:r w:rsidRPr="00855908">
        <w:rPr>
          <w:i/>
          <w:iCs/>
        </w:rPr>
        <w:t xml:space="preserve">Social impact </w:t>
      </w:r>
      <w:proofErr w:type="spellStart"/>
      <w:r w:rsidRPr="00855908">
        <w:rPr>
          <w:i/>
          <w:iCs/>
        </w:rPr>
        <w:t>assessment</w:t>
      </w:r>
      <w:proofErr w:type="spellEnd"/>
      <w:r w:rsidRPr="00855908">
        <w:rPr>
          <w:i/>
          <w:iCs/>
        </w:rPr>
        <w:t xml:space="preserve"> in the 21st </w:t>
      </w:r>
      <w:proofErr w:type="spellStart"/>
      <w:r w:rsidRPr="00855908">
        <w:rPr>
          <w:i/>
          <w:iCs/>
        </w:rPr>
        <w:t>century</w:t>
      </w:r>
      <w:proofErr w:type="spellEnd"/>
      <w:r w:rsidRPr="00855908">
        <w:rPr>
          <w:i/>
          <w:iCs/>
        </w:rPr>
        <w:t xml:space="preserve">: The </w:t>
      </w:r>
      <w:proofErr w:type="spellStart"/>
      <w:r w:rsidRPr="00855908">
        <w:rPr>
          <w:i/>
          <w:iCs/>
        </w:rPr>
        <w:t>role</w:t>
      </w:r>
      <w:proofErr w:type="spellEnd"/>
      <w:r w:rsidRPr="00855908">
        <w:rPr>
          <w:i/>
          <w:iCs/>
        </w:rPr>
        <w:t xml:space="preserve"> of supply chain management.</w:t>
      </w:r>
      <w:r w:rsidRPr="00855908">
        <w:t xml:space="preserve"> </w:t>
      </w:r>
      <w:hyperlink r:id="rId5" w:tgtFrame="_blank" w:history="1">
        <w:r w:rsidRPr="00855908">
          <w:rPr>
            <w:rStyle w:val="Collegamentoipertestuale"/>
            <w:rFonts w:eastAsiaTheme="majorEastAsia"/>
          </w:rPr>
          <w:t>Link all'articolo (</w:t>
        </w:r>
        <w:proofErr w:type="spellStart"/>
        <w:r w:rsidRPr="00855908">
          <w:rPr>
            <w:rStyle w:val="Collegamentoipertestuale"/>
            <w:rFonts w:eastAsiaTheme="majorEastAsia"/>
          </w:rPr>
          <w:t>ResearchGate</w:t>
        </w:r>
        <w:proofErr w:type="spellEnd"/>
        <w:r w:rsidRPr="00855908">
          <w:rPr>
            <w:rStyle w:val="Collegamentoipertestuale"/>
            <w:rFonts w:eastAsiaTheme="majorEastAsia"/>
          </w:rPr>
          <w:t>/</w:t>
        </w:r>
        <w:proofErr w:type="spellStart"/>
        <w:r w:rsidRPr="00855908">
          <w:rPr>
            <w:rStyle w:val="Collegamentoipertestuale"/>
            <w:rFonts w:eastAsiaTheme="majorEastAsia"/>
          </w:rPr>
          <w:t>ScienceDirect</w:t>
        </w:r>
        <w:proofErr w:type="spellEnd"/>
      </w:hyperlink>
    </w:p>
    <w:p w14:paraId="030391D0" w14:textId="77777777" w:rsidR="001B2342" w:rsidRPr="00855908" w:rsidRDefault="001B2342" w:rsidP="001B2342">
      <w:pPr>
        <w:spacing w:before="100" w:beforeAutospacing="1" w:after="100" w:afterAutospacing="1"/>
      </w:pPr>
    </w:p>
    <w:p w14:paraId="4D24CE01" w14:textId="77777777" w:rsidR="000C6619" w:rsidRPr="00855908" w:rsidRDefault="000C6619"/>
    <w:sectPr w:rsidR="000C6619" w:rsidRPr="008559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336"/>
    <w:multiLevelType w:val="multilevel"/>
    <w:tmpl w:val="0F8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33D4F"/>
    <w:multiLevelType w:val="hybridMultilevel"/>
    <w:tmpl w:val="10B2D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19DA"/>
    <w:multiLevelType w:val="multilevel"/>
    <w:tmpl w:val="F70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63384"/>
    <w:multiLevelType w:val="multilevel"/>
    <w:tmpl w:val="0EF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AC3926"/>
    <w:multiLevelType w:val="multilevel"/>
    <w:tmpl w:val="4866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A56E11"/>
    <w:multiLevelType w:val="multilevel"/>
    <w:tmpl w:val="8C9A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762B9"/>
    <w:multiLevelType w:val="multilevel"/>
    <w:tmpl w:val="1804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674F3"/>
    <w:multiLevelType w:val="multilevel"/>
    <w:tmpl w:val="C9AA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829E9"/>
    <w:multiLevelType w:val="multilevel"/>
    <w:tmpl w:val="3910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A6F5C"/>
    <w:multiLevelType w:val="multilevel"/>
    <w:tmpl w:val="DCA6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81F41"/>
    <w:multiLevelType w:val="multilevel"/>
    <w:tmpl w:val="51FE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C81425"/>
    <w:multiLevelType w:val="multilevel"/>
    <w:tmpl w:val="E38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D04EE0"/>
    <w:multiLevelType w:val="multilevel"/>
    <w:tmpl w:val="6DBC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655347"/>
    <w:multiLevelType w:val="multilevel"/>
    <w:tmpl w:val="4626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C2DEE"/>
    <w:multiLevelType w:val="multilevel"/>
    <w:tmpl w:val="8CA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174E7"/>
    <w:multiLevelType w:val="multilevel"/>
    <w:tmpl w:val="2228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5188A"/>
    <w:multiLevelType w:val="multilevel"/>
    <w:tmpl w:val="1460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C81F94"/>
    <w:multiLevelType w:val="multilevel"/>
    <w:tmpl w:val="6B3A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A0E70"/>
    <w:multiLevelType w:val="multilevel"/>
    <w:tmpl w:val="2954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34ECD"/>
    <w:multiLevelType w:val="multilevel"/>
    <w:tmpl w:val="92D6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E30D16"/>
    <w:multiLevelType w:val="multilevel"/>
    <w:tmpl w:val="5826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C1776"/>
    <w:multiLevelType w:val="multilevel"/>
    <w:tmpl w:val="8DE6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E457E"/>
    <w:multiLevelType w:val="multilevel"/>
    <w:tmpl w:val="9030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67CDC"/>
    <w:multiLevelType w:val="multilevel"/>
    <w:tmpl w:val="A48E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ED1974"/>
    <w:multiLevelType w:val="multilevel"/>
    <w:tmpl w:val="57C4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F3DC3"/>
    <w:multiLevelType w:val="multilevel"/>
    <w:tmpl w:val="2BC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22254"/>
    <w:multiLevelType w:val="multilevel"/>
    <w:tmpl w:val="57C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83244"/>
    <w:multiLevelType w:val="multilevel"/>
    <w:tmpl w:val="2378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001753"/>
    <w:multiLevelType w:val="multilevel"/>
    <w:tmpl w:val="10E4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9E7E84"/>
    <w:multiLevelType w:val="multilevel"/>
    <w:tmpl w:val="C84C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17D2B"/>
    <w:multiLevelType w:val="multilevel"/>
    <w:tmpl w:val="7A62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F9451E"/>
    <w:multiLevelType w:val="multilevel"/>
    <w:tmpl w:val="C55E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DC3256"/>
    <w:multiLevelType w:val="multilevel"/>
    <w:tmpl w:val="9636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0C5F20"/>
    <w:multiLevelType w:val="multilevel"/>
    <w:tmpl w:val="3684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0F2739"/>
    <w:multiLevelType w:val="multilevel"/>
    <w:tmpl w:val="E296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465B3"/>
    <w:multiLevelType w:val="multilevel"/>
    <w:tmpl w:val="8464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9815E1"/>
    <w:multiLevelType w:val="multilevel"/>
    <w:tmpl w:val="4C34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720C5"/>
    <w:multiLevelType w:val="multilevel"/>
    <w:tmpl w:val="CFDA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717D38"/>
    <w:multiLevelType w:val="multilevel"/>
    <w:tmpl w:val="60A2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871007">
    <w:abstractNumId w:val="36"/>
  </w:num>
  <w:num w:numId="2" w16cid:durableId="425153327">
    <w:abstractNumId w:val="28"/>
  </w:num>
  <w:num w:numId="3" w16cid:durableId="1048721970">
    <w:abstractNumId w:val="33"/>
  </w:num>
  <w:num w:numId="4" w16cid:durableId="1547568706">
    <w:abstractNumId w:val="27"/>
  </w:num>
  <w:num w:numId="5" w16cid:durableId="228157580">
    <w:abstractNumId w:val="18"/>
  </w:num>
  <w:num w:numId="6" w16cid:durableId="289634270">
    <w:abstractNumId w:val="7"/>
  </w:num>
  <w:num w:numId="7" w16cid:durableId="1768620909">
    <w:abstractNumId w:val="21"/>
  </w:num>
  <w:num w:numId="8" w16cid:durableId="119882517">
    <w:abstractNumId w:val="6"/>
  </w:num>
  <w:num w:numId="9" w16cid:durableId="2100520713">
    <w:abstractNumId w:val="25"/>
  </w:num>
  <w:num w:numId="10" w16cid:durableId="1537545723">
    <w:abstractNumId w:val="5"/>
  </w:num>
  <w:num w:numId="11" w16cid:durableId="343747340">
    <w:abstractNumId w:val="26"/>
  </w:num>
  <w:num w:numId="12" w16cid:durableId="1182939341">
    <w:abstractNumId w:val="10"/>
  </w:num>
  <w:num w:numId="13" w16cid:durableId="1165710799">
    <w:abstractNumId w:val="19"/>
  </w:num>
  <w:num w:numId="14" w16cid:durableId="137576116">
    <w:abstractNumId w:val="11"/>
  </w:num>
  <w:num w:numId="15" w16cid:durableId="727530554">
    <w:abstractNumId w:val="16"/>
  </w:num>
  <w:num w:numId="16" w16cid:durableId="272176125">
    <w:abstractNumId w:val="24"/>
  </w:num>
  <w:num w:numId="17" w16cid:durableId="1155334669">
    <w:abstractNumId w:val="2"/>
  </w:num>
  <w:num w:numId="18" w16cid:durableId="281305354">
    <w:abstractNumId w:val="14"/>
  </w:num>
  <w:num w:numId="19" w16cid:durableId="1400056418">
    <w:abstractNumId w:val="3"/>
  </w:num>
  <w:num w:numId="20" w16cid:durableId="1416590871">
    <w:abstractNumId w:val="15"/>
  </w:num>
  <w:num w:numId="21" w16cid:durableId="51202566">
    <w:abstractNumId w:val="29"/>
  </w:num>
  <w:num w:numId="22" w16cid:durableId="345450118">
    <w:abstractNumId w:val="9"/>
  </w:num>
  <w:num w:numId="23" w16cid:durableId="811021743">
    <w:abstractNumId w:val="20"/>
  </w:num>
  <w:num w:numId="24" w16cid:durableId="2020086116">
    <w:abstractNumId w:val="13"/>
  </w:num>
  <w:num w:numId="25" w16cid:durableId="1280531304">
    <w:abstractNumId w:val="23"/>
  </w:num>
  <w:num w:numId="26" w16cid:durableId="696320776">
    <w:abstractNumId w:val="34"/>
  </w:num>
  <w:num w:numId="27" w16cid:durableId="252248700">
    <w:abstractNumId w:val="4"/>
  </w:num>
  <w:num w:numId="28" w16cid:durableId="38358380">
    <w:abstractNumId w:val="0"/>
  </w:num>
  <w:num w:numId="29" w16cid:durableId="878711474">
    <w:abstractNumId w:val="31"/>
  </w:num>
  <w:num w:numId="30" w16cid:durableId="1122191354">
    <w:abstractNumId w:val="1"/>
  </w:num>
  <w:num w:numId="31" w16cid:durableId="1107385643">
    <w:abstractNumId w:val="8"/>
  </w:num>
  <w:num w:numId="32" w16cid:durableId="112986165">
    <w:abstractNumId w:val="37"/>
  </w:num>
  <w:num w:numId="33" w16cid:durableId="685787390">
    <w:abstractNumId w:val="38"/>
  </w:num>
  <w:num w:numId="34" w16cid:durableId="1086731941">
    <w:abstractNumId w:val="35"/>
  </w:num>
  <w:num w:numId="35" w16cid:durableId="45102918">
    <w:abstractNumId w:val="12"/>
  </w:num>
  <w:num w:numId="36" w16cid:durableId="733356623">
    <w:abstractNumId w:val="17"/>
  </w:num>
  <w:num w:numId="37" w16cid:durableId="1926768024">
    <w:abstractNumId w:val="30"/>
  </w:num>
  <w:num w:numId="38" w16cid:durableId="1597253904">
    <w:abstractNumId w:val="32"/>
  </w:num>
  <w:num w:numId="39" w16cid:durableId="11552936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19"/>
    <w:rsid w:val="000C6619"/>
    <w:rsid w:val="00125D48"/>
    <w:rsid w:val="00160133"/>
    <w:rsid w:val="001A4B84"/>
    <w:rsid w:val="001B2342"/>
    <w:rsid w:val="00252AE2"/>
    <w:rsid w:val="005B428E"/>
    <w:rsid w:val="006547BA"/>
    <w:rsid w:val="00674B10"/>
    <w:rsid w:val="00681E89"/>
    <w:rsid w:val="00855908"/>
    <w:rsid w:val="008B76B8"/>
    <w:rsid w:val="008D4445"/>
    <w:rsid w:val="0091223A"/>
    <w:rsid w:val="00BF0ADC"/>
    <w:rsid w:val="00C26CAA"/>
    <w:rsid w:val="00CB78C1"/>
    <w:rsid w:val="00DA2C21"/>
    <w:rsid w:val="00DD0B62"/>
    <w:rsid w:val="00E55E6C"/>
    <w:rsid w:val="00E81071"/>
    <w:rsid w:val="00E9385E"/>
    <w:rsid w:val="00EC2B52"/>
    <w:rsid w:val="00F1032D"/>
    <w:rsid w:val="00F24006"/>
    <w:rsid w:val="00F33106"/>
    <w:rsid w:val="00FC4DFB"/>
    <w:rsid w:val="00F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E39F"/>
  <w15:chartTrackingRefBased/>
  <w15:docId w15:val="{AE287992-A5A0-0C46-A7E6-D301F2E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234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6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C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C6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C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6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6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6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6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6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6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6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C6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C66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66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66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66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66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66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6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6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6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66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66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66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6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66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661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C6619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C6619"/>
    <w:rPr>
      <w:b/>
      <w:bCs/>
    </w:rPr>
  </w:style>
  <w:style w:type="character" w:styleId="Enfasicorsivo">
    <w:name w:val="Emphasis"/>
    <w:basedOn w:val="Carpredefinitoparagrafo"/>
    <w:uiPriority w:val="20"/>
    <w:qFormat/>
    <w:rsid w:val="000C6619"/>
    <w:rPr>
      <w:i/>
      <w:iCs/>
    </w:rPr>
  </w:style>
  <w:style w:type="character" w:customStyle="1" w:styleId="citation-93">
    <w:name w:val="citation-93"/>
    <w:basedOn w:val="Carpredefinitoparagrafo"/>
    <w:rsid w:val="00C26CAA"/>
  </w:style>
  <w:style w:type="character" w:customStyle="1" w:styleId="citation-92">
    <w:name w:val="citation-92"/>
    <w:basedOn w:val="Carpredefinitoparagrafo"/>
    <w:rsid w:val="00C26CAA"/>
  </w:style>
  <w:style w:type="character" w:customStyle="1" w:styleId="button-label">
    <w:name w:val="button-label"/>
    <w:basedOn w:val="Carpredefinitoparagrafo"/>
    <w:rsid w:val="00C26CAA"/>
  </w:style>
  <w:style w:type="character" w:customStyle="1" w:styleId="citation-91">
    <w:name w:val="citation-91"/>
    <w:basedOn w:val="Carpredefinitoparagrafo"/>
    <w:rsid w:val="00C26CAA"/>
  </w:style>
  <w:style w:type="character" w:customStyle="1" w:styleId="citation-90">
    <w:name w:val="citation-90"/>
    <w:basedOn w:val="Carpredefinitoparagrafo"/>
    <w:rsid w:val="00C26CAA"/>
  </w:style>
  <w:style w:type="character" w:customStyle="1" w:styleId="citation-88">
    <w:name w:val="citation-88"/>
    <w:basedOn w:val="Carpredefinitoparagrafo"/>
    <w:rsid w:val="00C26CAA"/>
  </w:style>
  <w:style w:type="character" w:customStyle="1" w:styleId="citation-87">
    <w:name w:val="citation-87"/>
    <w:basedOn w:val="Carpredefinitoparagrafo"/>
    <w:rsid w:val="00C26CAA"/>
  </w:style>
  <w:style w:type="character" w:customStyle="1" w:styleId="citation-86">
    <w:name w:val="citation-86"/>
    <w:basedOn w:val="Carpredefinitoparagrafo"/>
    <w:rsid w:val="00C26CAA"/>
  </w:style>
  <w:style w:type="character" w:customStyle="1" w:styleId="citation-85">
    <w:name w:val="citation-85"/>
    <w:basedOn w:val="Carpredefinitoparagrafo"/>
    <w:rsid w:val="00C26CAA"/>
  </w:style>
  <w:style w:type="character" w:customStyle="1" w:styleId="citation-84">
    <w:name w:val="citation-84"/>
    <w:basedOn w:val="Carpredefinitoparagrafo"/>
    <w:rsid w:val="00C26CAA"/>
  </w:style>
  <w:style w:type="character" w:customStyle="1" w:styleId="citation-83">
    <w:name w:val="citation-83"/>
    <w:basedOn w:val="Carpredefinitoparagrafo"/>
    <w:rsid w:val="00C26CAA"/>
  </w:style>
  <w:style w:type="character" w:styleId="Collegamentoipertestuale">
    <w:name w:val="Hyperlink"/>
    <w:basedOn w:val="Carpredefinitoparagrafo"/>
    <w:uiPriority w:val="99"/>
    <w:semiHidden/>
    <w:unhideWhenUsed/>
    <w:rsid w:val="00674B10"/>
    <w:rPr>
      <w:color w:val="0000FF"/>
      <w:u w:val="single"/>
    </w:rPr>
  </w:style>
  <w:style w:type="character" w:customStyle="1" w:styleId="citation-124">
    <w:name w:val="citation-124"/>
    <w:basedOn w:val="Carpredefinitoparagrafo"/>
    <w:rsid w:val="00674B10"/>
  </w:style>
  <w:style w:type="character" w:customStyle="1" w:styleId="citation-123">
    <w:name w:val="citation-123"/>
    <w:basedOn w:val="Carpredefinitoparagrafo"/>
    <w:rsid w:val="00674B10"/>
  </w:style>
  <w:style w:type="character" w:customStyle="1" w:styleId="citation-122">
    <w:name w:val="citation-122"/>
    <w:basedOn w:val="Carpredefinitoparagrafo"/>
    <w:rsid w:val="00674B10"/>
  </w:style>
  <w:style w:type="character" w:customStyle="1" w:styleId="citation-121">
    <w:name w:val="citation-121"/>
    <w:basedOn w:val="Carpredefinitoparagrafo"/>
    <w:rsid w:val="0067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sciencedirect.com/science/article/pii/S09596526183015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melaniabacosi12@gmail.com</dc:creator>
  <cp:keywords/>
  <dc:description/>
  <cp:lastModifiedBy>melaniabacosi12@gmail.com</cp:lastModifiedBy>
  <cp:revision>2</cp:revision>
  <dcterms:created xsi:type="dcterms:W3CDTF">2026-01-17T14:07:00Z</dcterms:created>
  <dcterms:modified xsi:type="dcterms:W3CDTF">2026-01-17T14:07:00Z</dcterms:modified>
</cp:coreProperties>
</file>